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C3ADCB" w14:textId="5A26BF27" w:rsidR="00E90E49" w:rsidRPr="00F06DCE" w:rsidRDefault="00E90E49" w:rsidP="00E35559">
      <w:pPr>
        <w:pStyle w:val="3GPPHeader"/>
        <w:spacing w:after="60"/>
        <w:rPr>
          <w:sz w:val="32"/>
          <w:szCs w:val="32"/>
        </w:rPr>
      </w:pPr>
      <w:r w:rsidRPr="00F06DCE">
        <w:t>3GPP TSG-RAN WG</w:t>
      </w:r>
      <w:r w:rsidR="00F20F5C" w:rsidRPr="00F06DCE">
        <w:t>2</w:t>
      </w:r>
      <w:r w:rsidRPr="00F06DCE">
        <w:t xml:space="preserve"> #</w:t>
      </w:r>
      <w:r w:rsidR="00F20F5C" w:rsidRPr="00F06DCE">
        <w:t>1</w:t>
      </w:r>
      <w:r w:rsidR="00A311A7">
        <w:t>20</w:t>
      </w:r>
      <w:r w:rsidRPr="00F06DCE">
        <w:tab/>
      </w:r>
      <w:r w:rsidR="00060620" w:rsidRPr="00060620">
        <w:rPr>
          <w:sz w:val="32"/>
          <w:szCs w:val="32"/>
        </w:rPr>
        <w:t>R2-</w:t>
      </w:r>
      <w:r w:rsidR="00060620" w:rsidRPr="0036390A">
        <w:rPr>
          <w:sz w:val="32"/>
          <w:szCs w:val="32"/>
        </w:rPr>
        <w:t>22</w:t>
      </w:r>
      <w:r w:rsidR="0036390A">
        <w:rPr>
          <w:sz w:val="32"/>
          <w:szCs w:val="32"/>
        </w:rPr>
        <w:t>12468</w:t>
      </w:r>
    </w:p>
    <w:p w14:paraId="0DEF01D1" w14:textId="7008500A" w:rsidR="00E90E49" w:rsidRPr="00CE0424" w:rsidRDefault="00A311A7" w:rsidP="00311702">
      <w:pPr>
        <w:pStyle w:val="3GPPHeader"/>
      </w:pPr>
      <w:r>
        <w:t>Toulouse</w:t>
      </w:r>
      <w:r w:rsidR="00C268E6" w:rsidRPr="00F06DCE">
        <w:t xml:space="preserve">, </w:t>
      </w:r>
      <w:r w:rsidR="0036390A">
        <w:t xml:space="preserve">France, </w:t>
      </w:r>
      <w:r w:rsidR="00C268E6" w:rsidRPr="00F06DCE">
        <w:t>202</w:t>
      </w:r>
      <w:r w:rsidR="00DF66E1" w:rsidRPr="00F06DCE">
        <w:t>2-</w:t>
      </w:r>
      <w:r>
        <w:t>11</w:t>
      </w:r>
      <w:r w:rsidR="00DF66E1" w:rsidRPr="00F06DCE">
        <w:t>-</w:t>
      </w:r>
      <w:r>
        <w:t>14</w:t>
      </w:r>
      <w:r w:rsidR="00DF66E1" w:rsidRPr="00F06DCE">
        <w:t>- 2022-</w:t>
      </w:r>
      <w:r>
        <w:t>11</w:t>
      </w:r>
      <w:r w:rsidR="00DF66E1" w:rsidRPr="00F06DCE">
        <w:t>-</w:t>
      </w:r>
      <w:r>
        <w:t>18</w:t>
      </w:r>
    </w:p>
    <w:p w14:paraId="252563D4" w14:textId="77777777" w:rsidR="00E90E49" w:rsidRPr="00CE0424" w:rsidRDefault="00E90E49" w:rsidP="00357380">
      <w:pPr>
        <w:pStyle w:val="3GPPHeader"/>
      </w:pPr>
    </w:p>
    <w:p w14:paraId="267378A2" w14:textId="280B2EE1"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FB5315" w:rsidRPr="00FB5315">
        <w:rPr>
          <w:sz w:val="22"/>
          <w:szCs w:val="22"/>
        </w:rPr>
        <w:t>8</w:t>
      </w:r>
      <w:r w:rsidR="00A311A7" w:rsidRPr="00FB5315">
        <w:rPr>
          <w:sz w:val="22"/>
          <w:szCs w:val="22"/>
        </w:rPr>
        <w:t>.</w:t>
      </w:r>
      <w:r w:rsidR="00FB5315" w:rsidRPr="00FB5315">
        <w:rPr>
          <w:sz w:val="22"/>
          <w:szCs w:val="22"/>
        </w:rPr>
        <w:t>4</w:t>
      </w:r>
      <w:r w:rsidR="00A311A7" w:rsidRPr="00FB5315">
        <w:rPr>
          <w:sz w:val="22"/>
          <w:szCs w:val="22"/>
        </w:rPr>
        <w:t>.</w:t>
      </w:r>
      <w:r w:rsidR="00FB5315" w:rsidRPr="00FB5315">
        <w:rPr>
          <w:sz w:val="22"/>
          <w:szCs w:val="22"/>
        </w:rPr>
        <w:t>4</w:t>
      </w:r>
    </w:p>
    <w:p w14:paraId="36E7B6AB"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2579376" w14:textId="5052C13B" w:rsidR="00E90E49" w:rsidRPr="00CE0424" w:rsidRDefault="003D3C45" w:rsidP="00311702">
      <w:pPr>
        <w:pStyle w:val="3GPPHeader"/>
        <w:rPr>
          <w:sz w:val="22"/>
          <w:szCs w:val="22"/>
        </w:rPr>
      </w:pPr>
      <w:r>
        <w:rPr>
          <w:sz w:val="22"/>
          <w:szCs w:val="22"/>
        </w:rPr>
        <w:t>Title:</w:t>
      </w:r>
      <w:r w:rsidR="00E90E49" w:rsidRPr="00CE0424">
        <w:rPr>
          <w:sz w:val="22"/>
          <w:szCs w:val="22"/>
        </w:rPr>
        <w:tab/>
      </w:r>
      <w:r w:rsidR="00693333" w:rsidRPr="00693333">
        <w:rPr>
          <w:sz w:val="22"/>
          <w:szCs w:val="22"/>
        </w:rPr>
        <w:t>CHO with candidate SCGs</w:t>
      </w:r>
    </w:p>
    <w:p w14:paraId="24C111CD"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B93BF6">
        <w:rPr>
          <w:sz w:val="22"/>
          <w:szCs w:val="22"/>
        </w:rPr>
        <w:t>Discussion, Decision</w:t>
      </w:r>
    </w:p>
    <w:p w14:paraId="1DD4A9BC" w14:textId="77777777" w:rsidR="00E90E49" w:rsidRPr="00CE0424" w:rsidRDefault="00E90E49" w:rsidP="00E90E49"/>
    <w:p w14:paraId="028056FC" w14:textId="77777777" w:rsidR="00E90E49" w:rsidRPr="00CE0424" w:rsidRDefault="00230D18" w:rsidP="00CE0424">
      <w:pPr>
        <w:pStyle w:val="Heading1"/>
      </w:pPr>
      <w:r>
        <w:t>1</w:t>
      </w:r>
      <w:r>
        <w:tab/>
      </w:r>
      <w:r w:rsidR="00E90E49" w:rsidRPr="00CE0424">
        <w:t>Introduction</w:t>
      </w:r>
    </w:p>
    <w:p w14:paraId="05DA515A" w14:textId="25E45903" w:rsidR="004A2B7E" w:rsidRPr="007F667B" w:rsidRDefault="00FD4266" w:rsidP="004A2B7E">
      <w:pPr>
        <w:pStyle w:val="BodyText"/>
        <w:rPr>
          <w:rStyle w:val="Emphasis"/>
          <w:i w:val="0"/>
          <w:iCs w:val="0"/>
        </w:rPr>
      </w:pPr>
      <w:r>
        <w:t xml:space="preserve">The </w:t>
      </w:r>
      <w:r w:rsidR="00C233B8">
        <w:t>r</w:t>
      </w:r>
      <w:r>
        <w:t xml:space="preserve">el-18 work on further NR mobility enhancements is described in the WID in </w:t>
      </w:r>
      <w:r>
        <w:fldChar w:fldCharType="begin"/>
      </w:r>
      <w:r>
        <w:instrText xml:space="preserve"> REF _Ref107489175 \r \h </w:instrText>
      </w:r>
      <w:r>
        <w:fldChar w:fldCharType="separate"/>
      </w:r>
      <w:r>
        <w:t>[1]</w:t>
      </w:r>
      <w:r>
        <w:fldChar w:fldCharType="end"/>
      </w:r>
      <w:r>
        <w:t xml:space="preserve">. </w:t>
      </w:r>
      <w:r w:rsidR="00A311A7">
        <w:t xml:space="preserve">The WID includes an objective </w:t>
      </w:r>
      <w:r w:rsidR="004A2B7E">
        <w:t>related to specifying CHO configuration including both a target MCG and target candidate SCGs for CPAC</w:t>
      </w:r>
      <w:r w:rsidR="00693333">
        <w:t xml:space="preserve"> (objective 4)</w:t>
      </w:r>
      <w:r w:rsidR="004A2B7E">
        <w:t>:</w:t>
      </w:r>
    </w:p>
    <w:p w14:paraId="236F8D23" w14:textId="77777777" w:rsidR="004A2B7E" w:rsidRDefault="004A2B7E" w:rsidP="004A2B7E">
      <w:pPr>
        <w:numPr>
          <w:ilvl w:val="0"/>
          <w:numId w:val="36"/>
        </w:numPr>
        <w:spacing w:after="0"/>
        <w:jc w:val="both"/>
        <w:rPr>
          <w:bCs/>
          <w:lang w:val="en-US"/>
        </w:rPr>
      </w:pPr>
      <w:r w:rsidRPr="00F64376">
        <w:rPr>
          <w:rFonts w:eastAsia="PMingLiU"/>
          <w:bCs/>
          <w:lang w:val="en-US" w:eastAsia="en-GB"/>
        </w:rPr>
        <w:t>To specify CHO including target MCG and candidate SCGs for CPC/CPA in NR-DC [RAN3, RAN2]</w:t>
      </w:r>
    </w:p>
    <w:p w14:paraId="09864E56" w14:textId="77777777" w:rsidR="004A2B7E" w:rsidRPr="00F64376" w:rsidRDefault="004A2B7E" w:rsidP="004A2B7E">
      <w:pPr>
        <w:numPr>
          <w:ilvl w:val="1"/>
          <w:numId w:val="36"/>
        </w:numPr>
        <w:spacing w:after="0"/>
        <w:jc w:val="both"/>
        <w:rPr>
          <w:rFonts w:eastAsia="PMingLiU"/>
          <w:bCs/>
          <w:lang w:val="en-US" w:eastAsia="en-GB"/>
        </w:rPr>
      </w:pPr>
      <w:r w:rsidRPr="00F64376">
        <w:rPr>
          <w:rFonts w:eastAsia="PMingLiU"/>
          <w:bCs/>
          <w:lang w:val="en-US" w:eastAsia="en-GB"/>
        </w:rPr>
        <w:t>CHO including target MCG and target SCG is used as the baseline</w:t>
      </w:r>
    </w:p>
    <w:p w14:paraId="59DCC765" w14:textId="77777777" w:rsidR="004A2B7E" w:rsidRDefault="004A2B7E" w:rsidP="00F64376">
      <w:pPr>
        <w:pStyle w:val="BodyText"/>
      </w:pPr>
    </w:p>
    <w:p w14:paraId="66A7BD6A" w14:textId="6831CEF0" w:rsidR="00F64376" w:rsidRDefault="005F1473" w:rsidP="00F64376">
      <w:pPr>
        <w:pStyle w:val="BodyText"/>
      </w:pPr>
      <w:r>
        <w:t>A</w:t>
      </w:r>
      <w:r w:rsidR="00150866">
        <w:t>t the RAN</w:t>
      </w:r>
      <w:r w:rsidR="00620BAF">
        <w:t>2</w:t>
      </w:r>
      <w:r w:rsidR="00150866">
        <w:t>#119</w:t>
      </w:r>
      <w:r w:rsidR="00693333">
        <w:t>-e</w:t>
      </w:r>
      <w:r w:rsidR="00150866">
        <w:t xml:space="preserve"> meeting the following agreements </w:t>
      </w:r>
      <w:r>
        <w:t xml:space="preserve">were </w:t>
      </w:r>
      <w:r w:rsidR="00150866">
        <w:t xml:space="preserve">reached for </w:t>
      </w:r>
      <w:r>
        <w:t xml:space="preserve">this </w:t>
      </w:r>
      <w:r w:rsidR="00150866">
        <w:t>objective:</w:t>
      </w:r>
    </w:p>
    <w:p w14:paraId="698FAA79" w14:textId="77777777" w:rsidR="004A2B7E" w:rsidRDefault="004A2B7E" w:rsidP="004A2B7E">
      <w:pPr>
        <w:pStyle w:val="Agreement"/>
      </w:pPr>
      <w:r>
        <w:t>Observation: Current RAN2 Stage-3 specifications can support CHO including target MCG and target SCG in Rel-17.</w:t>
      </w:r>
    </w:p>
    <w:p w14:paraId="478BC164" w14:textId="77777777" w:rsidR="004A2B7E" w:rsidRDefault="004A2B7E" w:rsidP="004A2B7E">
      <w:pPr>
        <w:pStyle w:val="Agreement"/>
      </w:pPr>
      <w:r>
        <w:t>CHO configuration referring to or including CPC/CPA configuration (intended to be applicable together) can be supported.</w:t>
      </w:r>
    </w:p>
    <w:p w14:paraId="57870693" w14:textId="77777777" w:rsidR="004A2B7E" w:rsidRDefault="004A2B7E" w:rsidP="004A2B7E">
      <w:pPr>
        <w:pStyle w:val="Agreement"/>
      </w:pPr>
      <w:r>
        <w:t>FFS: When triggering CHO, UE perform CPC/CPA configuration to start CPC/CPA evaluation, FFS if CHO evaluation and CPC/CPA evaluation is concurrent or sequential.</w:t>
      </w:r>
    </w:p>
    <w:p w14:paraId="02DAF74A" w14:textId="77777777" w:rsidR="00693333" w:rsidRDefault="00693333" w:rsidP="00F64376">
      <w:pPr>
        <w:pStyle w:val="BodyText"/>
      </w:pPr>
    </w:p>
    <w:p w14:paraId="4BB0ADAB" w14:textId="6175B2B0" w:rsidR="00F64376" w:rsidRDefault="00F64376" w:rsidP="00CE0424">
      <w:pPr>
        <w:pStyle w:val="BodyText"/>
      </w:pPr>
      <w:r>
        <w:t xml:space="preserve">In this contribution we discuss different aspects and open issues for objective </w:t>
      </w:r>
      <w:r w:rsidR="00693333">
        <w:t>4</w:t>
      </w:r>
      <w:r>
        <w:t xml:space="preserve"> in the WID on Rel-18 work on further NR mobility enhancements (</w:t>
      </w:r>
      <w:r>
        <w:fldChar w:fldCharType="begin"/>
      </w:r>
      <w:r>
        <w:instrText xml:space="preserve"> REF _Ref107489175 \r \h </w:instrText>
      </w:r>
      <w:r>
        <w:fldChar w:fldCharType="separate"/>
      </w:r>
      <w:r>
        <w:t>[1]</w:t>
      </w:r>
      <w:r>
        <w:fldChar w:fldCharType="end"/>
      </w:r>
      <w:r>
        <w:t>).</w:t>
      </w:r>
    </w:p>
    <w:p w14:paraId="59E13DC4" w14:textId="7EEFE1CD" w:rsidR="004000E8" w:rsidRDefault="00230D18" w:rsidP="00CE0424">
      <w:pPr>
        <w:pStyle w:val="Heading1"/>
      </w:pPr>
      <w:bookmarkStart w:id="0" w:name="_Ref178064866"/>
      <w:r>
        <w:t>2</w:t>
      </w:r>
      <w:r>
        <w:tab/>
      </w:r>
      <w:r w:rsidR="004000E8" w:rsidRPr="00CE0424">
        <w:t>Discussion</w:t>
      </w:r>
      <w:bookmarkEnd w:id="0"/>
    </w:p>
    <w:p w14:paraId="0FE752D6" w14:textId="7CC4A6E0" w:rsidR="003D347E" w:rsidRDefault="003D347E" w:rsidP="003D347E">
      <w:pPr>
        <w:pStyle w:val="Heading2"/>
        <w:rPr>
          <w:rFonts w:eastAsia="PMingLiU"/>
          <w:bCs/>
          <w:lang w:val="en-US" w:eastAsia="en-GB"/>
        </w:rPr>
      </w:pPr>
      <w:r w:rsidRPr="00B35D01">
        <w:t>2.</w:t>
      </w:r>
      <w:r w:rsidR="004A2B7E">
        <w:t>1</w:t>
      </w:r>
      <w:r w:rsidRPr="00B35D01">
        <w:tab/>
        <w:t xml:space="preserve">CHO </w:t>
      </w:r>
      <w:r w:rsidRPr="00B35D01">
        <w:rPr>
          <w:rFonts w:eastAsia="PMingLiU"/>
          <w:bCs/>
          <w:lang w:val="en-US" w:eastAsia="en-GB"/>
        </w:rPr>
        <w:t>including candidate SCGs for CPC/CPA</w:t>
      </w:r>
    </w:p>
    <w:p w14:paraId="65CCAA81" w14:textId="01CF3FCF" w:rsidR="003001F6" w:rsidRDefault="003001F6" w:rsidP="003001F6">
      <w:pPr>
        <w:pStyle w:val="Heading3"/>
      </w:pPr>
      <w:r>
        <w:t>2.1.1</w:t>
      </w:r>
      <w:r>
        <w:tab/>
        <w:t>Configuration of CHO and CPAC</w:t>
      </w:r>
    </w:p>
    <w:p w14:paraId="06B1723F" w14:textId="35CA4BCE" w:rsidR="004747A8" w:rsidRPr="004747A8" w:rsidRDefault="004747A8" w:rsidP="003001F6">
      <w:pPr>
        <w:rPr>
          <w:rFonts w:ascii="Arial" w:hAnsi="Arial" w:cs="Arial"/>
        </w:rPr>
      </w:pPr>
      <w:r w:rsidRPr="004747A8">
        <w:rPr>
          <w:rFonts w:ascii="Arial" w:hAnsi="Arial" w:cs="Arial"/>
        </w:rPr>
        <w:t>In rel-17</w:t>
      </w:r>
      <w:r>
        <w:rPr>
          <w:rFonts w:ascii="Arial" w:hAnsi="Arial" w:cs="Arial"/>
        </w:rPr>
        <w:t xml:space="preserve"> it is possible to configure </w:t>
      </w:r>
      <w:r w:rsidR="00605D7F">
        <w:rPr>
          <w:rFonts w:ascii="Arial" w:hAnsi="Arial" w:cs="Arial"/>
        </w:rPr>
        <w:t xml:space="preserve">both </w:t>
      </w:r>
      <w:r>
        <w:rPr>
          <w:rFonts w:ascii="Arial" w:hAnsi="Arial" w:cs="Arial"/>
        </w:rPr>
        <w:t>CHO and CPC/CPA</w:t>
      </w:r>
      <w:r w:rsidR="00C81124">
        <w:rPr>
          <w:rFonts w:ascii="Arial" w:hAnsi="Arial" w:cs="Arial"/>
        </w:rPr>
        <w:t xml:space="preserve"> at the same time</w:t>
      </w:r>
      <w:r w:rsidR="001D0CEC">
        <w:rPr>
          <w:rFonts w:ascii="Arial" w:hAnsi="Arial" w:cs="Arial"/>
        </w:rPr>
        <w:t xml:space="preserve"> in the UE. The CPC/CPA </w:t>
      </w:r>
      <w:r w:rsidR="005B39B8">
        <w:rPr>
          <w:rFonts w:ascii="Arial" w:hAnsi="Arial" w:cs="Arial"/>
        </w:rPr>
        <w:t xml:space="preserve">configurations are generated by the current (source) MN, </w:t>
      </w:r>
      <w:r w:rsidR="00333053">
        <w:rPr>
          <w:rFonts w:ascii="Arial" w:hAnsi="Arial" w:cs="Arial"/>
        </w:rPr>
        <w:t>possibly initiated by the current (source) SN. In rel-18</w:t>
      </w:r>
      <w:r w:rsidR="0033291C">
        <w:rPr>
          <w:rFonts w:ascii="Arial" w:hAnsi="Arial" w:cs="Arial"/>
        </w:rPr>
        <w:t xml:space="preserve">, the objective to specify CHO including target MCG and candidate SCG </w:t>
      </w:r>
      <w:r w:rsidR="0027449B">
        <w:rPr>
          <w:rFonts w:ascii="Arial" w:hAnsi="Arial" w:cs="Arial"/>
        </w:rPr>
        <w:t xml:space="preserve">should </w:t>
      </w:r>
      <w:r w:rsidR="00484C7F">
        <w:rPr>
          <w:rFonts w:ascii="Arial" w:hAnsi="Arial" w:cs="Arial"/>
        </w:rPr>
        <w:t xml:space="preserve">instead </w:t>
      </w:r>
      <w:r w:rsidR="0027449B">
        <w:rPr>
          <w:rFonts w:ascii="Arial" w:hAnsi="Arial" w:cs="Arial"/>
        </w:rPr>
        <w:t>contain CPC/CPA configurations generated by the target MN</w:t>
      </w:r>
      <w:r w:rsidR="00484C7F">
        <w:rPr>
          <w:rFonts w:ascii="Arial" w:hAnsi="Arial" w:cs="Arial"/>
        </w:rPr>
        <w:t xml:space="preserve">, so that </w:t>
      </w:r>
      <w:r w:rsidR="00A56A37">
        <w:rPr>
          <w:rFonts w:ascii="Arial" w:hAnsi="Arial" w:cs="Arial"/>
        </w:rPr>
        <w:t xml:space="preserve">the target MN </w:t>
      </w:r>
      <w:r w:rsidR="005C7AFD">
        <w:rPr>
          <w:rFonts w:ascii="Arial" w:hAnsi="Arial" w:cs="Arial"/>
        </w:rPr>
        <w:t xml:space="preserve">gets </w:t>
      </w:r>
      <w:r w:rsidR="00A56A37">
        <w:rPr>
          <w:rFonts w:ascii="Arial" w:hAnsi="Arial" w:cs="Arial"/>
        </w:rPr>
        <w:t xml:space="preserve">the most suitable SN. </w:t>
      </w:r>
    </w:p>
    <w:p w14:paraId="55662A07" w14:textId="634E307C" w:rsidR="000931F4" w:rsidRPr="00CE0424" w:rsidRDefault="00666D08" w:rsidP="000931F4">
      <w:pPr>
        <w:pStyle w:val="Observation"/>
      </w:pPr>
      <w:bookmarkStart w:id="1" w:name="_Toc118413648"/>
      <w:r>
        <w:t>In rel-17</w:t>
      </w:r>
      <w:r w:rsidR="001F3FA2">
        <w:t>,</w:t>
      </w:r>
      <w:r w:rsidR="003E399A">
        <w:t xml:space="preserve"> when CHO + CPC is configured, the CPC configuration</w:t>
      </w:r>
      <w:r w:rsidR="00F20565">
        <w:t xml:space="preserve">s are </w:t>
      </w:r>
      <w:r w:rsidR="00C677E8">
        <w:t>included</w:t>
      </w:r>
      <w:r w:rsidR="00F20565">
        <w:t xml:space="preserve"> </w:t>
      </w:r>
      <w:r w:rsidR="00F268C5">
        <w:t>in</w:t>
      </w:r>
      <w:r w:rsidR="00F20565">
        <w:t xml:space="preserve"> the source MN</w:t>
      </w:r>
      <w:r w:rsidR="00F268C5">
        <w:t xml:space="preserve"> configuration</w:t>
      </w:r>
      <w:r w:rsidR="000931F4">
        <w:t>.</w:t>
      </w:r>
      <w:bookmarkEnd w:id="1"/>
    </w:p>
    <w:p w14:paraId="35077EB4" w14:textId="002534B3" w:rsidR="000931F4" w:rsidRDefault="000931F4" w:rsidP="000931F4">
      <w:pPr>
        <w:pStyle w:val="Proposal"/>
      </w:pPr>
      <w:bookmarkStart w:id="2" w:name="_Toc118413651"/>
      <w:r>
        <w:t xml:space="preserve">The CPA/CPC configurations, for the candidate SCGs for CHO, are generated by the target </w:t>
      </w:r>
      <w:r w:rsidR="00F20565">
        <w:t xml:space="preserve">candidate </w:t>
      </w:r>
      <w:r>
        <w:t>MN and are included within the CHO configuration.</w:t>
      </w:r>
      <w:bookmarkEnd w:id="2"/>
    </w:p>
    <w:p w14:paraId="38FAC7AE" w14:textId="77777777" w:rsidR="003001F6" w:rsidRPr="000931F4" w:rsidRDefault="003001F6" w:rsidP="000931F4">
      <w:pPr>
        <w:rPr>
          <w:rFonts w:cs="Arial"/>
        </w:rPr>
      </w:pPr>
    </w:p>
    <w:p w14:paraId="086AB2C6" w14:textId="11B6AD0A" w:rsidR="003D347E" w:rsidRDefault="003D347E" w:rsidP="003D347E">
      <w:pPr>
        <w:pStyle w:val="Heading3"/>
      </w:pPr>
      <w:r>
        <w:t>2.</w:t>
      </w:r>
      <w:r w:rsidR="004A2B7E">
        <w:t>1</w:t>
      </w:r>
      <w:r>
        <w:t>.1</w:t>
      </w:r>
      <w:r>
        <w:tab/>
        <w:t>CHO and CPAC evaluation</w:t>
      </w:r>
    </w:p>
    <w:p w14:paraId="00590118" w14:textId="77777777" w:rsidR="003D347E" w:rsidRDefault="003D347E" w:rsidP="003D347E">
      <w:pPr>
        <w:rPr>
          <w:rFonts w:ascii="Arial" w:hAnsi="Arial" w:cs="Arial"/>
        </w:rPr>
      </w:pPr>
      <w:r>
        <w:rPr>
          <w:rFonts w:ascii="Arial" w:hAnsi="Arial" w:cs="Arial"/>
        </w:rPr>
        <w:t>One of the discussions at RAN2#119 concerned whether the CHO and CPAC conditions should be evaluated at the same time, or whether the CHO conditions should be evaluated first and the conditions for CPA/CPC should be evaluated only once the CHO configuration has been applied. The following FFSs were then listed at the RAN2#119 meeting:</w:t>
      </w:r>
    </w:p>
    <w:p w14:paraId="718B9ACE" w14:textId="77777777" w:rsidR="003D347E" w:rsidRDefault="003D347E" w:rsidP="003D347E">
      <w:pPr>
        <w:pStyle w:val="Agreement"/>
      </w:pPr>
      <w:r>
        <w:t xml:space="preserve">FFS: When triggering CHO, UE perform CPC/CPA configuration to start CPC/CPA evaluation, FFS if </w:t>
      </w:r>
      <w:bookmarkStart w:id="3" w:name="_Hlk117786106"/>
      <w:r>
        <w:t>CHO evaluation and CPC/CPA evaluation is concurrent or sequential</w:t>
      </w:r>
      <w:bookmarkEnd w:id="3"/>
      <w:r>
        <w:t>.</w:t>
      </w:r>
    </w:p>
    <w:p w14:paraId="13BECDAC" w14:textId="77777777" w:rsidR="003D347E" w:rsidRDefault="003D347E" w:rsidP="003D347E"/>
    <w:p w14:paraId="19E4F283" w14:textId="7BE31B0B" w:rsidR="003D347E" w:rsidRDefault="003D347E" w:rsidP="003D347E">
      <w:pPr>
        <w:rPr>
          <w:rFonts w:ascii="Arial" w:hAnsi="Arial" w:cs="Arial"/>
        </w:rPr>
      </w:pPr>
      <w:r w:rsidRPr="0015279E">
        <w:rPr>
          <w:rFonts w:ascii="Arial" w:hAnsi="Arial" w:cs="Arial"/>
        </w:rPr>
        <w:t>Different benefits and drawbacks can be identified for the sequential and simultaneous evaluations of CHO and CPC/CPA, respectively</w:t>
      </w:r>
      <w:r w:rsidRPr="00FA150C">
        <w:rPr>
          <w:rFonts w:ascii="Arial" w:hAnsi="Arial" w:cs="Arial"/>
        </w:rPr>
        <w:t>:</w:t>
      </w:r>
    </w:p>
    <w:p w14:paraId="52916025" w14:textId="77777777" w:rsidR="006A01BE" w:rsidRPr="00FA150C" w:rsidRDefault="006A01BE" w:rsidP="003D347E">
      <w:pPr>
        <w:rPr>
          <w:rFonts w:ascii="Arial" w:hAnsi="Arial" w:cs="Arial"/>
        </w:rPr>
      </w:pPr>
    </w:p>
    <w:p w14:paraId="7F3859D0" w14:textId="77777777" w:rsidR="003D347E" w:rsidRPr="00FA150C" w:rsidRDefault="003D347E" w:rsidP="003D347E">
      <w:pPr>
        <w:rPr>
          <w:rFonts w:ascii="Arial" w:hAnsi="Arial" w:cs="Arial"/>
        </w:rPr>
      </w:pPr>
      <w:r w:rsidRPr="00FA150C">
        <w:rPr>
          <w:rFonts w:ascii="Arial" w:hAnsi="Arial" w:cs="Arial"/>
          <w:u w:val="single"/>
        </w:rPr>
        <w:t>Sequential evaluation of CHO and CPC/CPA (</w:t>
      </w:r>
      <w:proofErr w:type="gramStart"/>
      <w:r w:rsidRPr="00FA150C">
        <w:rPr>
          <w:rFonts w:ascii="Arial" w:hAnsi="Arial" w:cs="Arial"/>
          <w:u w:val="single"/>
        </w:rPr>
        <w:t>i.e.</w:t>
      </w:r>
      <w:proofErr w:type="gramEnd"/>
      <w:r w:rsidRPr="00FA150C">
        <w:rPr>
          <w:rFonts w:ascii="Arial" w:hAnsi="Arial" w:cs="Arial"/>
          <w:u w:val="single"/>
        </w:rPr>
        <w:t xml:space="preserve"> CPC/CPA is evaluated after CHO execution)</w:t>
      </w:r>
      <w:r w:rsidRPr="00FA150C">
        <w:rPr>
          <w:rFonts w:ascii="Arial" w:hAnsi="Arial" w:cs="Arial"/>
        </w:rPr>
        <w:t>:</w:t>
      </w:r>
    </w:p>
    <w:p w14:paraId="2FDA72AE" w14:textId="782924F5" w:rsidR="003D347E" w:rsidRDefault="003D347E" w:rsidP="003D347E">
      <w:pPr>
        <w:ind w:left="567"/>
        <w:rPr>
          <w:rFonts w:ascii="Arial" w:hAnsi="Arial" w:cs="Arial"/>
        </w:rPr>
      </w:pPr>
      <w:r w:rsidRPr="00FA150C">
        <w:rPr>
          <w:rFonts w:ascii="Arial" w:hAnsi="Arial" w:cs="Arial"/>
        </w:rPr>
        <w:t>A solution with sequential evaluation would correspond to that CPC or CPA is configured within the CHO configuration and that the UE then only applies the CPC/CPA configuration (including execution conditions) once the CHO configuration is applied/executed. Specification of such solution should thus be rather simple, but there would be a delay until the resulting MCG+SCG configuration is achieved for the UE. In some cases</w:t>
      </w:r>
      <w:r w:rsidR="00C339B8">
        <w:rPr>
          <w:rFonts w:ascii="Arial" w:hAnsi="Arial" w:cs="Arial"/>
        </w:rPr>
        <w:t>,</w:t>
      </w:r>
      <w:r w:rsidRPr="00FA150C">
        <w:rPr>
          <w:rFonts w:ascii="Arial" w:hAnsi="Arial" w:cs="Arial"/>
        </w:rPr>
        <w:t xml:space="preserve"> there may even be two separate execution procedures for the SCG, one towards the </w:t>
      </w:r>
      <w:proofErr w:type="spellStart"/>
      <w:r w:rsidRPr="00FA150C">
        <w:rPr>
          <w:rFonts w:ascii="Arial" w:hAnsi="Arial" w:cs="Arial"/>
        </w:rPr>
        <w:t>PSCell</w:t>
      </w:r>
      <w:proofErr w:type="spellEnd"/>
      <w:r w:rsidRPr="00FA150C">
        <w:rPr>
          <w:rFonts w:ascii="Arial" w:hAnsi="Arial" w:cs="Arial"/>
        </w:rPr>
        <w:t xml:space="preserve"> configured as part of the CHO configuration and one towards the candidate target </w:t>
      </w:r>
      <w:proofErr w:type="spellStart"/>
      <w:r w:rsidRPr="00FA150C">
        <w:rPr>
          <w:rFonts w:ascii="Arial" w:hAnsi="Arial" w:cs="Arial"/>
        </w:rPr>
        <w:t>PSCell</w:t>
      </w:r>
      <w:proofErr w:type="spellEnd"/>
      <w:r w:rsidRPr="00FA150C">
        <w:rPr>
          <w:rFonts w:ascii="Arial" w:hAnsi="Arial" w:cs="Arial"/>
        </w:rPr>
        <w:t xml:space="preserve"> in the CPC with fulfilled execution conditions.</w:t>
      </w:r>
      <w:r w:rsidR="00E33F25">
        <w:rPr>
          <w:rFonts w:ascii="Arial" w:hAnsi="Arial" w:cs="Arial"/>
        </w:rPr>
        <w:t xml:space="preserve"> However, this may not occur often as it is assumed that </w:t>
      </w:r>
      <w:r w:rsidR="00B9424E">
        <w:rPr>
          <w:rFonts w:ascii="Arial" w:hAnsi="Arial" w:cs="Arial"/>
        </w:rPr>
        <w:t xml:space="preserve">the mobility procedures in the source SCG </w:t>
      </w:r>
      <w:r w:rsidR="00C908BF">
        <w:rPr>
          <w:rFonts w:ascii="Arial" w:hAnsi="Arial" w:cs="Arial"/>
        </w:rPr>
        <w:t>are well-</w:t>
      </w:r>
      <w:proofErr w:type="gramStart"/>
      <w:r w:rsidR="00C908BF">
        <w:rPr>
          <w:rFonts w:ascii="Arial" w:hAnsi="Arial" w:cs="Arial"/>
        </w:rPr>
        <w:t>working</w:t>
      </w:r>
      <w:proofErr w:type="gramEnd"/>
      <w:r w:rsidR="00C908BF">
        <w:rPr>
          <w:rFonts w:ascii="Arial" w:hAnsi="Arial" w:cs="Arial"/>
        </w:rPr>
        <w:t xml:space="preserve"> and that the UE </w:t>
      </w:r>
      <w:r w:rsidR="00A14330">
        <w:rPr>
          <w:rFonts w:ascii="Arial" w:hAnsi="Arial" w:cs="Arial"/>
        </w:rPr>
        <w:t xml:space="preserve">normally </w:t>
      </w:r>
      <w:r w:rsidR="00C908BF">
        <w:rPr>
          <w:rFonts w:ascii="Arial" w:hAnsi="Arial" w:cs="Arial"/>
        </w:rPr>
        <w:t>has the most suitable SCG</w:t>
      </w:r>
      <w:r w:rsidR="003A5619">
        <w:rPr>
          <w:rFonts w:ascii="Arial" w:hAnsi="Arial" w:cs="Arial"/>
        </w:rPr>
        <w:t>.</w:t>
      </w:r>
    </w:p>
    <w:p w14:paraId="48609A2C" w14:textId="77777777" w:rsidR="006A01BE" w:rsidRDefault="006A01BE" w:rsidP="003D347E">
      <w:pPr>
        <w:rPr>
          <w:rFonts w:ascii="Arial" w:hAnsi="Arial" w:cs="Arial"/>
          <w:u w:val="single"/>
        </w:rPr>
      </w:pPr>
    </w:p>
    <w:p w14:paraId="6A6E4943" w14:textId="2190BAF2" w:rsidR="003D347E" w:rsidRPr="00FA150C" w:rsidRDefault="003D347E" w:rsidP="003D347E">
      <w:pPr>
        <w:rPr>
          <w:rFonts w:ascii="Arial" w:hAnsi="Arial" w:cs="Arial"/>
          <w:u w:val="single"/>
        </w:rPr>
      </w:pPr>
      <w:r w:rsidRPr="00FA150C">
        <w:rPr>
          <w:rFonts w:ascii="Arial" w:hAnsi="Arial" w:cs="Arial"/>
          <w:u w:val="single"/>
        </w:rPr>
        <w:t>Simultaneous evaluation of CHO and CPC/CPA:</w:t>
      </w:r>
    </w:p>
    <w:p w14:paraId="5F2C0E05" w14:textId="2E898082" w:rsidR="0020791E" w:rsidRDefault="003D347E" w:rsidP="003D347E">
      <w:pPr>
        <w:ind w:left="567"/>
        <w:rPr>
          <w:rFonts w:ascii="Arial" w:hAnsi="Arial" w:cs="Arial"/>
        </w:rPr>
      </w:pPr>
      <w:r w:rsidRPr="0015279E">
        <w:rPr>
          <w:rFonts w:ascii="Arial" w:hAnsi="Arial" w:cs="Arial"/>
        </w:rPr>
        <w:t xml:space="preserve">A solution with simultaneous evaluation of CHO and CPC/CPA would mean that the UE needs to have the execution conditions for both types of conditional configurations available and consider whether conditions are fulfilled for only one or for both when execution is to be started. This will likely mean that the specification of such solution is more complex, </w:t>
      </w:r>
      <w:proofErr w:type="gramStart"/>
      <w:r w:rsidRPr="0015279E">
        <w:rPr>
          <w:rFonts w:ascii="Arial" w:hAnsi="Arial" w:cs="Arial"/>
        </w:rPr>
        <w:t>e.g.</w:t>
      </w:r>
      <w:proofErr w:type="gramEnd"/>
      <w:r w:rsidRPr="0015279E">
        <w:rPr>
          <w:rFonts w:ascii="Arial" w:hAnsi="Arial" w:cs="Arial"/>
        </w:rPr>
        <w:t xml:space="preserve"> there is a need for some rules for UE evaluation of these in parallel, e.g. whether it should be possible to execute CPC before CHO, and how to handle cases where only execution conditions for one of them is fulfilled.</w:t>
      </w:r>
      <w:r w:rsidR="00835A01">
        <w:rPr>
          <w:rFonts w:ascii="Arial" w:hAnsi="Arial" w:cs="Arial"/>
        </w:rPr>
        <w:t xml:space="preserve"> </w:t>
      </w:r>
      <w:r w:rsidR="0088117E" w:rsidRPr="0015279E">
        <w:rPr>
          <w:rFonts w:ascii="Arial" w:hAnsi="Arial" w:cs="Arial"/>
        </w:rPr>
        <w:t xml:space="preserve">A benefit is however that the most suitable </w:t>
      </w:r>
      <w:proofErr w:type="spellStart"/>
      <w:r w:rsidR="0088117E" w:rsidRPr="0015279E">
        <w:rPr>
          <w:rFonts w:ascii="Arial" w:hAnsi="Arial" w:cs="Arial"/>
        </w:rPr>
        <w:t>PSCell</w:t>
      </w:r>
      <w:proofErr w:type="spellEnd"/>
      <w:r w:rsidR="0088117E" w:rsidRPr="0015279E">
        <w:rPr>
          <w:rFonts w:ascii="Arial" w:hAnsi="Arial" w:cs="Arial"/>
        </w:rPr>
        <w:t xml:space="preserve"> configuration (if any) can be applied already at the point in time of CHO execution</w:t>
      </w:r>
      <w:r w:rsidR="0088117E">
        <w:rPr>
          <w:rFonts w:ascii="Arial" w:hAnsi="Arial" w:cs="Arial"/>
        </w:rPr>
        <w:t>.</w:t>
      </w:r>
    </w:p>
    <w:p w14:paraId="4DD26333" w14:textId="1443A5AA" w:rsidR="003D347E" w:rsidRDefault="00165E00" w:rsidP="0088117E">
      <w:pPr>
        <w:ind w:left="567"/>
        <w:rPr>
          <w:rFonts w:ascii="Arial" w:hAnsi="Arial" w:cs="Arial"/>
        </w:rPr>
      </w:pPr>
      <w:r>
        <w:rPr>
          <w:rFonts w:ascii="Arial" w:hAnsi="Arial" w:cs="Arial"/>
        </w:rPr>
        <w:t xml:space="preserve">A requirement that execution conditions for both CHO and CPC </w:t>
      </w:r>
      <w:r w:rsidR="00DE2A5F">
        <w:rPr>
          <w:rFonts w:ascii="Arial" w:hAnsi="Arial" w:cs="Arial"/>
        </w:rPr>
        <w:t xml:space="preserve">need to be fulfilled before </w:t>
      </w:r>
      <w:r w:rsidR="008C2DD5">
        <w:rPr>
          <w:rFonts w:ascii="Arial" w:hAnsi="Arial" w:cs="Arial"/>
        </w:rPr>
        <w:t xml:space="preserve">any execution </w:t>
      </w:r>
      <w:r w:rsidR="00616AB9">
        <w:rPr>
          <w:rFonts w:ascii="Arial" w:hAnsi="Arial" w:cs="Arial"/>
        </w:rPr>
        <w:t xml:space="preserve">is performed </w:t>
      </w:r>
      <w:r w:rsidR="008C2DD5">
        <w:rPr>
          <w:rFonts w:ascii="Arial" w:hAnsi="Arial" w:cs="Arial"/>
        </w:rPr>
        <w:t>should be avoided</w:t>
      </w:r>
      <w:r w:rsidR="007F6B97">
        <w:rPr>
          <w:rFonts w:ascii="Arial" w:hAnsi="Arial" w:cs="Arial"/>
        </w:rPr>
        <w:t xml:space="preserve"> though, as that </w:t>
      </w:r>
      <w:r w:rsidR="00027786">
        <w:rPr>
          <w:rFonts w:ascii="Arial" w:hAnsi="Arial" w:cs="Arial"/>
        </w:rPr>
        <w:t xml:space="preserve">normally implies that the execution of one procedure </w:t>
      </w:r>
      <w:r w:rsidR="00E908D5">
        <w:rPr>
          <w:rFonts w:ascii="Arial" w:hAnsi="Arial" w:cs="Arial"/>
        </w:rPr>
        <w:t xml:space="preserve">is delayed </w:t>
      </w:r>
      <w:r w:rsidR="0066249C">
        <w:rPr>
          <w:rFonts w:ascii="Arial" w:hAnsi="Arial" w:cs="Arial"/>
        </w:rPr>
        <w:t>until the execution conditions of the other procedure is fulfilled</w:t>
      </w:r>
      <w:r w:rsidR="00012D9C">
        <w:rPr>
          <w:rFonts w:ascii="Arial" w:hAnsi="Arial" w:cs="Arial"/>
        </w:rPr>
        <w:t xml:space="preserve"> (the executions conditions cannot be expected to be fulfilled at the same time)</w:t>
      </w:r>
      <w:r w:rsidR="008C2DD5">
        <w:rPr>
          <w:rFonts w:ascii="Arial" w:hAnsi="Arial" w:cs="Arial"/>
        </w:rPr>
        <w:t>.</w:t>
      </w:r>
      <w:r w:rsidR="0066249C">
        <w:rPr>
          <w:rFonts w:ascii="Arial" w:hAnsi="Arial" w:cs="Arial"/>
        </w:rPr>
        <w:t xml:space="preserve"> Delaying execution of CHO </w:t>
      </w:r>
      <w:r w:rsidR="0020791E">
        <w:rPr>
          <w:rFonts w:ascii="Arial" w:hAnsi="Arial" w:cs="Arial"/>
        </w:rPr>
        <w:t>is something that should not be done</w:t>
      </w:r>
      <w:r w:rsidR="00624739">
        <w:rPr>
          <w:rFonts w:ascii="Arial" w:hAnsi="Arial" w:cs="Arial"/>
        </w:rPr>
        <w:t xml:space="preserve"> as that impacts the robustness of the MCG</w:t>
      </w:r>
      <w:r w:rsidR="0020791E">
        <w:rPr>
          <w:rFonts w:ascii="Arial" w:hAnsi="Arial" w:cs="Arial"/>
        </w:rPr>
        <w:t>.</w:t>
      </w:r>
    </w:p>
    <w:p w14:paraId="1D7C667F" w14:textId="77777777" w:rsidR="00C5765C" w:rsidRDefault="00C5765C" w:rsidP="003D347E">
      <w:pPr>
        <w:rPr>
          <w:rFonts w:ascii="Arial" w:hAnsi="Arial" w:cs="Arial"/>
        </w:rPr>
      </w:pPr>
    </w:p>
    <w:p w14:paraId="1B34718C" w14:textId="17366990" w:rsidR="003D347E" w:rsidRDefault="003D347E" w:rsidP="003D347E">
      <w:pPr>
        <w:rPr>
          <w:rFonts w:ascii="Arial" w:hAnsi="Arial" w:cs="Arial"/>
        </w:rPr>
      </w:pPr>
      <w:r>
        <w:rPr>
          <w:rFonts w:ascii="Arial" w:hAnsi="Arial" w:cs="Arial"/>
        </w:rPr>
        <w:t>In either case, delaying the execution of one conditional reconfiguration (CHO or CPC) due to that the UE needs to evaluate another conditional reconfiguration (CPC or CHO) should be avoided, as it could otherwise lead to failures of the MCG and/or the SCG and potentially even lead to re-establishment. The solution should thus be designed in such a way that the execution of a conditional reconfiguration is not delayed when the execution condition(s) are fulfilled.</w:t>
      </w:r>
    </w:p>
    <w:p w14:paraId="4CF4BDC6" w14:textId="31C9C228" w:rsidR="006767DF" w:rsidRDefault="00A52D93" w:rsidP="003D347E">
      <w:pPr>
        <w:rPr>
          <w:rFonts w:ascii="Arial" w:hAnsi="Arial" w:cs="Arial"/>
        </w:rPr>
      </w:pPr>
      <w:r>
        <w:rPr>
          <w:rFonts w:ascii="Arial" w:hAnsi="Arial" w:cs="Arial"/>
        </w:rPr>
        <w:t xml:space="preserve">Taking the above </w:t>
      </w:r>
      <w:r w:rsidR="00CD38C2">
        <w:rPr>
          <w:rFonts w:ascii="Arial" w:hAnsi="Arial" w:cs="Arial"/>
        </w:rPr>
        <w:t xml:space="preserve">considerations into account, it seems </w:t>
      </w:r>
      <w:r w:rsidR="009260C4">
        <w:rPr>
          <w:rFonts w:ascii="Arial" w:hAnsi="Arial" w:cs="Arial"/>
        </w:rPr>
        <w:t xml:space="preserve">more beneficial to perform sequential evaluation of CHO and CPC/CPA, </w:t>
      </w:r>
      <w:proofErr w:type="gramStart"/>
      <w:r w:rsidR="009260C4">
        <w:rPr>
          <w:rFonts w:ascii="Arial" w:hAnsi="Arial" w:cs="Arial"/>
        </w:rPr>
        <w:t>i.e.</w:t>
      </w:r>
      <w:proofErr w:type="gramEnd"/>
      <w:r w:rsidR="009260C4">
        <w:rPr>
          <w:rFonts w:ascii="Arial" w:hAnsi="Arial" w:cs="Arial"/>
        </w:rPr>
        <w:t xml:space="preserve"> first evaluate the conditions for CHO and when the CHO has been executed start monitoring the conditions for CPC/CPA. This decreases the complexity and </w:t>
      </w:r>
      <w:r w:rsidR="003E729D">
        <w:rPr>
          <w:rFonts w:ascii="Arial" w:hAnsi="Arial" w:cs="Arial"/>
        </w:rPr>
        <w:t xml:space="preserve">there is a benefit in that any subsequent </w:t>
      </w:r>
      <w:proofErr w:type="spellStart"/>
      <w:r w:rsidR="003E729D">
        <w:rPr>
          <w:rFonts w:ascii="Arial" w:hAnsi="Arial" w:cs="Arial"/>
        </w:rPr>
        <w:t>PSCell</w:t>
      </w:r>
      <w:proofErr w:type="spellEnd"/>
      <w:r w:rsidR="003E729D">
        <w:rPr>
          <w:rFonts w:ascii="Arial" w:hAnsi="Arial" w:cs="Arial"/>
        </w:rPr>
        <w:t xml:space="preserve"> change can be executed fast as the configuration is applied immediately. </w:t>
      </w:r>
    </w:p>
    <w:p w14:paraId="71313233" w14:textId="77777777" w:rsidR="003D347E" w:rsidRDefault="003D347E" w:rsidP="003D347E">
      <w:pPr>
        <w:rPr>
          <w:rFonts w:ascii="Arial" w:hAnsi="Arial" w:cs="Arial"/>
        </w:rPr>
      </w:pPr>
    </w:p>
    <w:p w14:paraId="45F4CF6A" w14:textId="5B1F48AB" w:rsidR="003D347E" w:rsidRDefault="003D347E" w:rsidP="003D347E">
      <w:pPr>
        <w:pStyle w:val="Proposal"/>
      </w:pPr>
      <w:bookmarkStart w:id="4" w:name="_Toc118413652"/>
      <w:r>
        <w:lastRenderedPageBreak/>
        <w:t>The execution of one type of conditional configuration (CHO or CPC) should not be delayed due to evaluation of the other conditional configuration (CPC or CHO)</w:t>
      </w:r>
      <w:r w:rsidRPr="001B290A">
        <w:t>.</w:t>
      </w:r>
      <w:bookmarkEnd w:id="4"/>
    </w:p>
    <w:p w14:paraId="1A01B840" w14:textId="5EBD2475" w:rsidR="00F54A08" w:rsidRPr="001B290A" w:rsidRDefault="009D59A0" w:rsidP="009245A2">
      <w:pPr>
        <w:pStyle w:val="Proposal"/>
      </w:pPr>
      <w:bookmarkStart w:id="5" w:name="_Toc118413653"/>
      <w:r>
        <w:t xml:space="preserve">The </w:t>
      </w:r>
      <w:r w:rsidRPr="009D59A0">
        <w:t xml:space="preserve">CHO evaluation and </w:t>
      </w:r>
      <w:r>
        <w:t xml:space="preserve">the </w:t>
      </w:r>
      <w:r w:rsidRPr="009D59A0">
        <w:t xml:space="preserve">CPC/CPA evaluation </w:t>
      </w:r>
      <w:r>
        <w:t xml:space="preserve">should be </w:t>
      </w:r>
      <w:r w:rsidRPr="009D59A0">
        <w:t>sequential</w:t>
      </w:r>
      <w:r>
        <w:t xml:space="preserve">, </w:t>
      </w:r>
      <w:proofErr w:type="gramStart"/>
      <w:r>
        <w:t>i.e.</w:t>
      </w:r>
      <w:proofErr w:type="gramEnd"/>
      <w:r>
        <w:t xml:space="preserve"> that the </w:t>
      </w:r>
      <w:r w:rsidRPr="00732C0D">
        <w:rPr>
          <w:rFonts w:cs="Arial"/>
        </w:rPr>
        <w:t>CPC/CPA is evaluated after CHO execution</w:t>
      </w:r>
      <w:r>
        <w:t>.</w:t>
      </w:r>
      <w:bookmarkEnd w:id="5"/>
    </w:p>
    <w:p w14:paraId="5BC60141" w14:textId="77777777" w:rsidR="003D347E" w:rsidRDefault="003D347E" w:rsidP="003D347E"/>
    <w:p w14:paraId="562AFC18" w14:textId="24A3276B" w:rsidR="003D347E" w:rsidRDefault="003D347E" w:rsidP="003D347E">
      <w:pPr>
        <w:pStyle w:val="Heading3"/>
      </w:pPr>
      <w:r>
        <w:t>2.</w:t>
      </w:r>
      <w:r w:rsidR="004A2B7E">
        <w:t>1</w:t>
      </w:r>
      <w:r>
        <w:t>.2</w:t>
      </w:r>
      <w:r>
        <w:tab/>
        <w:t>SN initiated CPC</w:t>
      </w:r>
    </w:p>
    <w:p w14:paraId="4A160A9F" w14:textId="77777777" w:rsidR="003D347E" w:rsidRPr="001824F2" w:rsidRDefault="003D347E" w:rsidP="003D347E">
      <w:pPr>
        <w:rPr>
          <w:rFonts w:ascii="Arial" w:hAnsi="Arial" w:cs="Arial"/>
        </w:rPr>
      </w:pPr>
      <w:r>
        <w:rPr>
          <w:rFonts w:ascii="Arial" w:hAnsi="Arial" w:cs="Arial"/>
        </w:rPr>
        <w:t xml:space="preserve">In existing specifications, both MN </w:t>
      </w:r>
      <w:proofErr w:type="gramStart"/>
      <w:r>
        <w:rPr>
          <w:rFonts w:ascii="Arial" w:hAnsi="Arial" w:cs="Arial"/>
        </w:rPr>
        <w:t>initiated</w:t>
      </w:r>
      <w:proofErr w:type="gramEnd"/>
      <w:r>
        <w:rPr>
          <w:rFonts w:ascii="Arial" w:hAnsi="Arial" w:cs="Arial"/>
        </w:rPr>
        <w:t xml:space="preserve"> and SN initiated CPC are supported. In MN initiated CPC the execution conditions refer to the MCG </w:t>
      </w:r>
      <w:proofErr w:type="spellStart"/>
      <w:r w:rsidRPr="00F351B5">
        <w:rPr>
          <w:rFonts w:ascii="Arial" w:hAnsi="Arial" w:cs="Arial"/>
          <w:i/>
          <w:iCs/>
        </w:rPr>
        <w:t>measConfig</w:t>
      </w:r>
      <w:proofErr w:type="spellEnd"/>
      <w:r>
        <w:rPr>
          <w:rFonts w:ascii="Arial" w:hAnsi="Arial" w:cs="Arial"/>
        </w:rPr>
        <w:t xml:space="preserve">, whereas the execution conditions refer to the SCG </w:t>
      </w:r>
      <w:proofErr w:type="spellStart"/>
      <w:r w:rsidRPr="00F351B5">
        <w:rPr>
          <w:rFonts w:ascii="Arial" w:hAnsi="Arial" w:cs="Arial"/>
          <w:i/>
          <w:iCs/>
        </w:rPr>
        <w:t>measConfig</w:t>
      </w:r>
      <w:proofErr w:type="spellEnd"/>
      <w:r>
        <w:rPr>
          <w:rFonts w:ascii="Arial" w:hAnsi="Arial" w:cs="Arial"/>
        </w:rPr>
        <w:t xml:space="preserve"> in SN initiated CPC. When CPC configurations are included in CHO configurations, the SN may not be able to initiate any CPC configuration as a target candidate MN first needs to be selected. However, it is still a very relevant case that the execution conditions refer to the target candidate SN </w:t>
      </w:r>
      <w:proofErr w:type="spellStart"/>
      <w:r w:rsidRPr="001476B2">
        <w:rPr>
          <w:rFonts w:ascii="Arial" w:hAnsi="Arial" w:cs="Arial"/>
          <w:i/>
          <w:iCs/>
        </w:rPr>
        <w:t>measConfig</w:t>
      </w:r>
      <w:proofErr w:type="spellEnd"/>
      <w:r>
        <w:rPr>
          <w:rFonts w:ascii="Arial" w:hAnsi="Arial" w:cs="Arial"/>
        </w:rPr>
        <w:t xml:space="preserve">, as the mobility is related to that node. Therefore, the case of execution conditions related to the SN </w:t>
      </w:r>
      <w:proofErr w:type="spellStart"/>
      <w:r w:rsidRPr="006F3C68">
        <w:rPr>
          <w:rFonts w:ascii="Arial" w:hAnsi="Arial" w:cs="Arial"/>
          <w:i/>
          <w:iCs/>
        </w:rPr>
        <w:t>measConfig</w:t>
      </w:r>
      <w:proofErr w:type="spellEnd"/>
      <w:r>
        <w:rPr>
          <w:rFonts w:ascii="Arial" w:hAnsi="Arial" w:cs="Arial"/>
        </w:rPr>
        <w:t xml:space="preserve"> should be supported, even if it may not be strictly “initiated” by the SN.</w:t>
      </w:r>
    </w:p>
    <w:p w14:paraId="4AA250CD" w14:textId="77777777" w:rsidR="003D347E" w:rsidRDefault="003D347E" w:rsidP="003D347E">
      <w:pPr>
        <w:pStyle w:val="Proposal"/>
      </w:pPr>
      <w:bookmarkStart w:id="6" w:name="_Toc118413654"/>
      <w:r>
        <w:t xml:space="preserve">It should be possible to configure execution conditions related to an SN </w:t>
      </w:r>
      <w:proofErr w:type="spellStart"/>
      <w:proofErr w:type="gramStart"/>
      <w:r w:rsidRPr="008C6C13">
        <w:rPr>
          <w:i/>
          <w:iCs/>
        </w:rPr>
        <w:t>measConfig</w:t>
      </w:r>
      <w:proofErr w:type="spellEnd"/>
      <w:r>
        <w:t>, in case</w:t>
      </w:r>
      <w:proofErr w:type="gramEnd"/>
      <w:r>
        <w:t xml:space="preserve"> CPC configurations are included in CHO configurations.</w:t>
      </w:r>
      <w:bookmarkEnd w:id="6"/>
    </w:p>
    <w:p w14:paraId="5002968C" w14:textId="77777777" w:rsidR="003D347E" w:rsidRDefault="003D347E" w:rsidP="003D347E"/>
    <w:p w14:paraId="20D74898" w14:textId="77777777" w:rsidR="00C01F33" w:rsidRPr="00CE0424" w:rsidRDefault="00C01F33" w:rsidP="00CE0424">
      <w:pPr>
        <w:pStyle w:val="Heading1"/>
      </w:pPr>
      <w:r w:rsidRPr="00CE0424">
        <w:t>Conclusion</w:t>
      </w:r>
    </w:p>
    <w:p w14:paraId="7E08B16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1F2050A5" w14:textId="57404029" w:rsidR="0031619C" w:rsidRDefault="006F6582">
      <w:pPr>
        <w:pStyle w:val="TableofFigures"/>
        <w:tabs>
          <w:tab w:val="right" w:leader="dot" w:pos="9629"/>
        </w:tabs>
        <w:rPr>
          <w:rFonts w:asciiTheme="minorHAnsi" w:eastAsiaTheme="minorEastAsia" w:hAnsiTheme="minorHAnsi" w:cstheme="minorBidi"/>
          <w:b w:val="0"/>
          <w:noProof/>
          <w:sz w:val="22"/>
          <w:szCs w:val="22"/>
          <w:lang w:val="en-SE" w:eastAsia="en-SE"/>
        </w:rPr>
      </w:pPr>
      <w:r>
        <w:rPr>
          <w:b w:val="0"/>
          <w:bCs/>
        </w:rPr>
        <w:fldChar w:fldCharType="begin"/>
      </w:r>
      <w:r>
        <w:rPr>
          <w:b w:val="0"/>
          <w:bCs/>
        </w:rPr>
        <w:instrText xml:space="preserve"> TOC \f O \n \h \z \t "Observation" \c </w:instrText>
      </w:r>
      <w:r>
        <w:rPr>
          <w:b w:val="0"/>
          <w:bCs/>
        </w:rPr>
        <w:fldChar w:fldCharType="separate"/>
      </w:r>
      <w:hyperlink w:anchor="_Toc118413648" w:history="1">
        <w:r w:rsidR="0031619C" w:rsidRPr="00D9718B">
          <w:rPr>
            <w:rStyle w:val="Hyperlink"/>
            <w:noProof/>
          </w:rPr>
          <w:t>Observation 1</w:t>
        </w:r>
        <w:r w:rsidR="0031619C">
          <w:rPr>
            <w:rFonts w:asciiTheme="minorHAnsi" w:eastAsiaTheme="minorEastAsia" w:hAnsiTheme="minorHAnsi" w:cstheme="minorBidi"/>
            <w:b w:val="0"/>
            <w:noProof/>
            <w:sz w:val="22"/>
            <w:szCs w:val="22"/>
            <w:lang w:val="en-SE" w:eastAsia="en-SE"/>
          </w:rPr>
          <w:tab/>
        </w:r>
        <w:r w:rsidR="0031619C" w:rsidRPr="00D9718B">
          <w:rPr>
            <w:rStyle w:val="Hyperlink"/>
            <w:noProof/>
          </w:rPr>
          <w:t>In rel-17, when CHO + CPC is configured, the CPC configurations are included in the source MN configuration.</w:t>
        </w:r>
      </w:hyperlink>
    </w:p>
    <w:p w14:paraId="7570C759" w14:textId="35C29279" w:rsidR="006E1C82" w:rsidRDefault="006F6582" w:rsidP="008E065E">
      <w:pPr>
        <w:pStyle w:val="BodyText"/>
        <w:rPr>
          <w:b/>
          <w:bCs/>
        </w:rPr>
      </w:pPr>
      <w:r>
        <w:rPr>
          <w:b/>
          <w:bCs/>
        </w:rPr>
        <w:fldChar w:fldCharType="end"/>
      </w:r>
    </w:p>
    <w:p w14:paraId="4DC87846"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66B53B5B" w14:textId="556E978B" w:rsidR="0031619C" w:rsidRDefault="006E1C82">
      <w:pPr>
        <w:pStyle w:val="TableofFigures"/>
        <w:tabs>
          <w:tab w:val="right" w:leader="dot" w:pos="9629"/>
        </w:tabs>
        <w:rPr>
          <w:rFonts w:asciiTheme="minorHAnsi" w:eastAsiaTheme="minorEastAsia" w:hAnsiTheme="minorHAnsi" w:cstheme="minorBidi"/>
          <w:b w:val="0"/>
          <w:noProof/>
          <w:sz w:val="22"/>
          <w:szCs w:val="22"/>
          <w:lang w:val="en-SE" w:eastAsia="en-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18413651" w:history="1">
        <w:r w:rsidR="0031619C" w:rsidRPr="007D7815">
          <w:rPr>
            <w:rStyle w:val="Hyperlink"/>
            <w:noProof/>
          </w:rPr>
          <w:t>Proposal 1</w:t>
        </w:r>
        <w:r w:rsidR="0031619C">
          <w:rPr>
            <w:rFonts w:asciiTheme="minorHAnsi" w:eastAsiaTheme="minorEastAsia" w:hAnsiTheme="minorHAnsi" w:cstheme="minorBidi"/>
            <w:b w:val="0"/>
            <w:noProof/>
            <w:sz w:val="22"/>
            <w:szCs w:val="22"/>
            <w:lang w:val="en-SE" w:eastAsia="en-SE"/>
          </w:rPr>
          <w:tab/>
        </w:r>
        <w:r w:rsidR="0031619C" w:rsidRPr="007D7815">
          <w:rPr>
            <w:rStyle w:val="Hyperlink"/>
            <w:noProof/>
          </w:rPr>
          <w:t>The CPA/CPC configurations, for the candidate SCGs for CHO, are generated by the target candidate MN and are included within the CHO configuration.</w:t>
        </w:r>
      </w:hyperlink>
    </w:p>
    <w:p w14:paraId="51B2FEA1" w14:textId="5AB8600C" w:rsidR="0031619C" w:rsidRDefault="0031619C">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8413652" w:history="1">
        <w:r w:rsidRPr="007D7815">
          <w:rPr>
            <w:rStyle w:val="Hyperlink"/>
            <w:noProof/>
          </w:rPr>
          <w:t>Proposal 2</w:t>
        </w:r>
        <w:r>
          <w:rPr>
            <w:rFonts w:asciiTheme="minorHAnsi" w:eastAsiaTheme="minorEastAsia" w:hAnsiTheme="minorHAnsi" w:cstheme="minorBidi"/>
            <w:b w:val="0"/>
            <w:noProof/>
            <w:sz w:val="22"/>
            <w:szCs w:val="22"/>
            <w:lang w:val="en-SE" w:eastAsia="en-SE"/>
          </w:rPr>
          <w:tab/>
        </w:r>
        <w:r w:rsidRPr="007D7815">
          <w:rPr>
            <w:rStyle w:val="Hyperlink"/>
            <w:noProof/>
          </w:rPr>
          <w:t>The execution of one type of conditional configuration (CHO or CPC) should not be delayed due to evaluation of the other conditional configuration (CPC or CHO).</w:t>
        </w:r>
      </w:hyperlink>
    </w:p>
    <w:p w14:paraId="5ADF47E5" w14:textId="1893C2D6" w:rsidR="0031619C" w:rsidRDefault="0031619C">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8413653" w:history="1">
        <w:r w:rsidRPr="007D7815">
          <w:rPr>
            <w:rStyle w:val="Hyperlink"/>
            <w:noProof/>
          </w:rPr>
          <w:t>Proposal 3</w:t>
        </w:r>
        <w:r>
          <w:rPr>
            <w:rFonts w:asciiTheme="minorHAnsi" w:eastAsiaTheme="minorEastAsia" w:hAnsiTheme="minorHAnsi" w:cstheme="minorBidi"/>
            <w:b w:val="0"/>
            <w:noProof/>
            <w:sz w:val="22"/>
            <w:szCs w:val="22"/>
            <w:lang w:val="en-SE" w:eastAsia="en-SE"/>
          </w:rPr>
          <w:tab/>
        </w:r>
        <w:r w:rsidRPr="007D7815">
          <w:rPr>
            <w:rStyle w:val="Hyperlink"/>
            <w:noProof/>
          </w:rPr>
          <w:t xml:space="preserve">The CHO evaluation and the CPC/CPA evaluation should be sequential, i.e. that the </w:t>
        </w:r>
        <w:r w:rsidRPr="007D7815">
          <w:rPr>
            <w:rStyle w:val="Hyperlink"/>
            <w:rFonts w:cs="Arial"/>
            <w:noProof/>
          </w:rPr>
          <w:t>CPC/CPA is evaluated after CHO execution</w:t>
        </w:r>
        <w:r w:rsidRPr="007D7815">
          <w:rPr>
            <w:rStyle w:val="Hyperlink"/>
            <w:noProof/>
          </w:rPr>
          <w:t>.</w:t>
        </w:r>
      </w:hyperlink>
    </w:p>
    <w:p w14:paraId="42D5FB20" w14:textId="416686E9" w:rsidR="0031619C" w:rsidRDefault="0031619C">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8413654" w:history="1">
        <w:r w:rsidRPr="007D7815">
          <w:rPr>
            <w:rStyle w:val="Hyperlink"/>
            <w:noProof/>
          </w:rPr>
          <w:t>Proposal 4</w:t>
        </w:r>
        <w:r>
          <w:rPr>
            <w:rFonts w:asciiTheme="minorHAnsi" w:eastAsiaTheme="minorEastAsia" w:hAnsiTheme="minorHAnsi" w:cstheme="minorBidi"/>
            <w:b w:val="0"/>
            <w:noProof/>
            <w:sz w:val="22"/>
            <w:szCs w:val="22"/>
            <w:lang w:val="en-SE" w:eastAsia="en-SE"/>
          </w:rPr>
          <w:tab/>
        </w:r>
        <w:r w:rsidRPr="007D7815">
          <w:rPr>
            <w:rStyle w:val="Hyperlink"/>
            <w:noProof/>
          </w:rPr>
          <w:t xml:space="preserve">It should be possible to configure execution conditions related to an SN </w:t>
        </w:r>
        <w:r w:rsidRPr="007D7815">
          <w:rPr>
            <w:rStyle w:val="Hyperlink"/>
            <w:i/>
            <w:iCs/>
            <w:noProof/>
          </w:rPr>
          <w:t>measConfig</w:t>
        </w:r>
        <w:r w:rsidRPr="007D7815">
          <w:rPr>
            <w:rStyle w:val="Hyperlink"/>
            <w:noProof/>
          </w:rPr>
          <w:t>, in case CPC configurations are included in CHO configurations.</w:t>
        </w:r>
      </w:hyperlink>
    </w:p>
    <w:p w14:paraId="0307436E" w14:textId="260FD9C9" w:rsidR="006E1C82" w:rsidRPr="00CE0424" w:rsidRDefault="006E1C82" w:rsidP="006E1C82">
      <w:pPr>
        <w:pStyle w:val="BodyText"/>
        <w:rPr>
          <w:b/>
          <w:bCs/>
        </w:rPr>
      </w:pPr>
      <w:r>
        <w:rPr>
          <w:b/>
          <w:bCs/>
          <w:lang w:val="en-US"/>
        </w:rPr>
        <w:fldChar w:fldCharType="end"/>
      </w:r>
      <w:r w:rsidRPr="00CE0424">
        <w:rPr>
          <w:b/>
          <w:bCs/>
        </w:rPr>
        <w:t xml:space="preserve"> </w:t>
      </w:r>
    </w:p>
    <w:p w14:paraId="7BD5CFC3" w14:textId="77777777" w:rsidR="00F507D1" w:rsidRPr="00CE0424" w:rsidRDefault="00F507D1" w:rsidP="00CE0424">
      <w:pPr>
        <w:pStyle w:val="Heading1"/>
      </w:pPr>
      <w:bookmarkStart w:id="7" w:name="_In-sequence_SDU_delivery"/>
      <w:bookmarkEnd w:id="7"/>
      <w:r w:rsidRPr="00CE0424">
        <w:t>References</w:t>
      </w:r>
    </w:p>
    <w:p w14:paraId="5DCC939F" w14:textId="249279EC" w:rsidR="003A7EF3" w:rsidRPr="00CE0424" w:rsidRDefault="00FD4266" w:rsidP="00CE0424">
      <w:pPr>
        <w:pStyle w:val="Reference"/>
      </w:pPr>
      <w:bookmarkStart w:id="8" w:name="_Ref107489175"/>
      <w:bookmarkStart w:id="9" w:name="_Ref174151459"/>
      <w:bookmarkStart w:id="10" w:name="_Ref189809556"/>
      <w:r w:rsidRPr="00FD4266">
        <w:t>RP-221799</w:t>
      </w:r>
      <w:r w:rsidR="005F3025" w:rsidRPr="00CE0424">
        <w:t xml:space="preserve">, </w:t>
      </w:r>
      <w:r w:rsidRPr="00FD4266">
        <w:t>Revised WID on Further NR mobility enhancements</w:t>
      </w:r>
      <w:r w:rsidR="005F3025" w:rsidRPr="00CE0424">
        <w:t xml:space="preserve">, </w:t>
      </w:r>
      <w:r w:rsidRPr="00FD4266">
        <w:t>MediaTek Inc.</w:t>
      </w:r>
      <w:r w:rsidR="005F3025" w:rsidRPr="00CE0424">
        <w:t xml:space="preserve">, </w:t>
      </w:r>
      <w:r w:rsidRPr="00FD4266">
        <w:t>3GPP TSG RAN Meeting #96</w:t>
      </w:r>
      <w:r w:rsidR="005F3025" w:rsidRPr="00CE0424">
        <w:t xml:space="preserve">, </w:t>
      </w:r>
      <w:r w:rsidRPr="00FD4266">
        <w:t>June 6-9, 2022</w:t>
      </w:r>
      <w:bookmarkEnd w:id="8"/>
      <w:bookmarkEnd w:id="9"/>
      <w:bookmarkEnd w:id="10"/>
    </w:p>
    <w:sectPr w:rsidR="003A7EF3"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662BC4" w14:textId="77777777" w:rsidR="00F11112" w:rsidRDefault="00F11112">
      <w:r>
        <w:separator/>
      </w:r>
    </w:p>
  </w:endnote>
  <w:endnote w:type="continuationSeparator" w:id="0">
    <w:p w14:paraId="64B55C78" w14:textId="77777777" w:rsidR="00F11112" w:rsidRDefault="00F11112">
      <w:r>
        <w:continuationSeparator/>
      </w:r>
    </w:p>
  </w:endnote>
  <w:endnote w:type="continuationNotice" w:id="1">
    <w:p w14:paraId="27D507BE" w14:textId="77777777" w:rsidR="00F11112" w:rsidRDefault="00F111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1A0C4D" w14:textId="77777777" w:rsidR="00F11112" w:rsidRDefault="00F11112">
      <w:r>
        <w:separator/>
      </w:r>
    </w:p>
  </w:footnote>
  <w:footnote w:type="continuationSeparator" w:id="0">
    <w:p w14:paraId="50239617" w14:textId="77777777" w:rsidR="00F11112" w:rsidRDefault="00F11112">
      <w:r>
        <w:continuationSeparator/>
      </w:r>
    </w:p>
  </w:footnote>
  <w:footnote w:type="continuationNotice" w:id="1">
    <w:p w14:paraId="77C88864" w14:textId="77777777" w:rsidR="00F11112" w:rsidRDefault="00F1111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BC394"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112CF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44A957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0D1523B8"/>
    <w:multiLevelType w:val="hybridMultilevel"/>
    <w:tmpl w:val="FAFC34A4"/>
    <w:lvl w:ilvl="0" w:tplc="BAA24D2C">
      <w:start w:val="2"/>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DCE4FC7"/>
    <w:multiLevelType w:val="hybridMultilevel"/>
    <w:tmpl w:val="2F28951E"/>
    <w:lvl w:ilvl="0" w:tplc="9F18D2B6">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2C40FEB"/>
    <w:multiLevelType w:val="hybridMultilevel"/>
    <w:tmpl w:val="A1A82010"/>
    <w:lvl w:ilvl="0" w:tplc="00FE8A4C">
      <w:start w:val="4"/>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135B3936"/>
    <w:multiLevelType w:val="hybridMultilevel"/>
    <w:tmpl w:val="1F2085A0"/>
    <w:lvl w:ilvl="0" w:tplc="DC567620">
      <w:start w:val="1"/>
      <w:numFmt w:val="lowerLetter"/>
      <w:lvlText w:val="%1."/>
      <w:lvlJc w:val="left"/>
      <w:pPr>
        <w:tabs>
          <w:tab w:val="num" w:pos="720"/>
        </w:tabs>
        <w:ind w:left="720" w:hanging="360"/>
      </w:pPr>
    </w:lvl>
    <w:lvl w:ilvl="1" w:tplc="244282B2" w:tentative="1">
      <w:start w:val="1"/>
      <w:numFmt w:val="lowerLetter"/>
      <w:lvlText w:val="%2."/>
      <w:lvlJc w:val="left"/>
      <w:pPr>
        <w:tabs>
          <w:tab w:val="num" w:pos="1440"/>
        </w:tabs>
        <w:ind w:left="1440" w:hanging="360"/>
      </w:pPr>
    </w:lvl>
    <w:lvl w:ilvl="2" w:tplc="7ED64968" w:tentative="1">
      <w:start w:val="1"/>
      <w:numFmt w:val="lowerLetter"/>
      <w:lvlText w:val="%3."/>
      <w:lvlJc w:val="left"/>
      <w:pPr>
        <w:tabs>
          <w:tab w:val="num" w:pos="2160"/>
        </w:tabs>
        <w:ind w:left="2160" w:hanging="360"/>
      </w:pPr>
    </w:lvl>
    <w:lvl w:ilvl="3" w:tplc="7F3220BC" w:tentative="1">
      <w:start w:val="1"/>
      <w:numFmt w:val="lowerLetter"/>
      <w:lvlText w:val="%4."/>
      <w:lvlJc w:val="left"/>
      <w:pPr>
        <w:tabs>
          <w:tab w:val="num" w:pos="2880"/>
        </w:tabs>
        <w:ind w:left="2880" w:hanging="360"/>
      </w:pPr>
    </w:lvl>
    <w:lvl w:ilvl="4" w:tplc="3CB0BB88" w:tentative="1">
      <w:start w:val="1"/>
      <w:numFmt w:val="lowerLetter"/>
      <w:lvlText w:val="%5."/>
      <w:lvlJc w:val="left"/>
      <w:pPr>
        <w:tabs>
          <w:tab w:val="num" w:pos="3600"/>
        </w:tabs>
        <w:ind w:left="3600" w:hanging="360"/>
      </w:pPr>
    </w:lvl>
    <w:lvl w:ilvl="5" w:tplc="E27409F0" w:tentative="1">
      <w:start w:val="1"/>
      <w:numFmt w:val="lowerLetter"/>
      <w:lvlText w:val="%6."/>
      <w:lvlJc w:val="left"/>
      <w:pPr>
        <w:tabs>
          <w:tab w:val="num" w:pos="4320"/>
        </w:tabs>
        <w:ind w:left="4320" w:hanging="360"/>
      </w:pPr>
    </w:lvl>
    <w:lvl w:ilvl="6" w:tplc="9110A8B4" w:tentative="1">
      <w:start w:val="1"/>
      <w:numFmt w:val="lowerLetter"/>
      <w:lvlText w:val="%7."/>
      <w:lvlJc w:val="left"/>
      <w:pPr>
        <w:tabs>
          <w:tab w:val="num" w:pos="5040"/>
        </w:tabs>
        <w:ind w:left="5040" w:hanging="360"/>
      </w:pPr>
    </w:lvl>
    <w:lvl w:ilvl="7" w:tplc="9856A814" w:tentative="1">
      <w:start w:val="1"/>
      <w:numFmt w:val="lowerLetter"/>
      <w:lvlText w:val="%8."/>
      <w:lvlJc w:val="left"/>
      <w:pPr>
        <w:tabs>
          <w:tab w:val="num" w:pos="5760"/>
        </w:tabs>
        <w:ind w:left="5760" w:hanging="360"/>
      </w:pPr>
    </w:lvl>
    <w:lvl w:ilvl="8" w:tplc="AE6CE3CC" w:tentative="1">
      <w:start w:val="1"/>
      <w:numFmt w:val="lowerLetter"/>
      <w:lvlText w:val="%9."/>
      <w:lvlJc w:val="left"/>
      <w:pPr>
        <w:tabs>
          <w:tab w:val="num" w:pos="6480"/>
        </w:tabs>
        <w:ind w:left="6480" w:hanging="360"/>
      </w:pPr>
    </w:lvl>
  </w:abstractNum>
  <w:abstractNum w:abstractNumId="10" w15:restartNumberingAfterBreak="0">
    <w:nsid w:val="1ABB3E85"/>
    <w:multiLevelType w:val="hybridMultilevel"/>
    <w:tmpl w:val="58AA09C4"/>
    <w:lvl w:ilvl="0" w:tplc="2DD01380">
      <w:start w:val="2"/>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1D3A6490"/>
    <w:multiLevelType w:val="hybridMultilevel"/>
    <w:tmpl w:val="85DCC38E"/>
    <w:lvl w:ilvl="0" w:tplc="1304FA12">
      <w:start w:val="1"/>
      <w:numFmt w:val="bullet"/>
      <w:lvlText w:val="-"/>
      <w:lvlJc w:val="left"/>
      <w:pPr>
        <w:ind w:left="720" w:hanging="360"/>
      </w:pPr>
      <w:rPr>
        <w:rFonts w:ascii="Calibri" w:hAnsi="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447539E"/>
    <w:multiLevelType w:val="hybridMultilevel"/>
    <w:tmpl w:val="4E24144E"/>
    <w:lvl w:ilvl="0" w:tplc="5A68E432">
      <w:start w:val="1"/>
      <w:numFmt w:val="bullet"/>
      <w:lvlText w:val=""/>
      <w:lvlJc w:val="left"/>
      <w:pPr>
        <w:tabs>
          <w:tab w:val="num" w:pos="720"/>
        </w:tabs>
        <w:ind w:left="720" w:hanging="360"/>
      </w:pPr>
      <w:rPr>
        <w:rFonts w:ascii="Symbol" w:hAnsi="Symbol" w:hint="default"/>
      </w:rPr>
    </w:lvl>
    <w:lvl w:ilvl="1" w:tplc="0AAE1EAC" w:tentative="1">
      <w:start w:val="1"/>
      <w:numFmt w:val="bullet"/>
      <w:lvlText w:val=""/>
      <w:lvlJc w:val="left"/>
      <w:pPr>
        <w:tabs>
          <w:tab w:val="num" w:pos="1440"/>
        </w:tabs>
        <w:ind w:left="1440" w:hanging="360"/>
      </w:pPr>
      <w:rPr>
        <w:rFonts w:ascii="Symbol" w:hAnsi="Symbol" w:hint="default"/>
      </w:rPr>
    </w:lvl>
    <w:lvl w:ilvl="2" w:tplc="EF764830" w:tentative="1">
      <w:start w:val="1"/>
      <w:numFmt w:val="bullet"/>
      <w:lvlText w:val=""/>
      <w:lvlJc w:val="left"/>
      <w:pPr>
        <w:tabs>
          <w:tab w:val="num" w:pos="2160"/>
        </w:tabs>
        <w:ind w:left="2160" w:hanging="360"/>
      </w:pPr>
      <w:rPr>
        <w:rFonts w:ascii="Symbol" w:hAnsi="Symbol" w:hint="default"/>
      </w:rPr>
    </w:lvl>
    <w:lvl w:ilvl="3" w:tplc="CD281576" w:tentative="1">
      <w:start w:val="1"/>
      <w:numFmt w:val="bullet"/>
      <w:lvlText w:val=""/>
      <w:lvlJc w:val="left"/>
      <w:pPr>
        <w:tabs>
          <w:tab w:val="num" w:pos="2880"/>
        </w:tabs>
        <w:ind w:left="2880" w:hanging="360"/>
      </w:pPr>
      <w:rPr>
        <w:rFonts w:ascii="Symbol" w:hAnsi="Symbol" w:hint="default"/>
      </w:rPr>
    </w:lvl>
    <w:lvl w:ilvl="4" w:tplc="C756A0EA" w:tentative="1">
      <w:start w:val="1"/>
      <w:numFmt w:val="bullet"/>
      <w:lvlText w:val=""/>
      <w:lvlJc w:val="left"/>
      <w:pPr>
        <w:tabs>
          <w:tab w:val="num" w:pos="3600"/>
        </w:tabs>
        <w:ind w:left="3600" w:hanging="360"/>
      </w:pPr>
      <w:rPr>
        <w:rFonts w:ascii="Symbol" w:hAnsi="Symbol" w:hint="default"/>
      </w:rPr>
    </w:lvl>
    <w:lvl w:ilvl="5" w:tplc="BB4CD1C2" w:tentative="1">
      <w:start w:val="1"/>
      <w:numFmt w:val="bullet"/>
      <w:lvlText w:val=""/>
      <w:lvlJc w:val="left"/>
      <w:pPr>
        <w:tabs>
          <w:tab w:val="num" w:pos="4320"/>
        </w:tabs>
        <w:ind w:left="4320" w:hanging="360"/>
      </w:pPr>
      <w:rPr>
        <w:rFonts w:ascii="Symbol" w:hAnsi="Symbol" w:hint="default"/>
      </w:rPr>
    </w:lvl>
    <w:lvl w:ilvl="6" w:tplc="B3B250E8" w:tentative="1">
      <w:start w:val="1"/>
      <w:numFmt w:val="bullet"/>
      <w:lvlText w:val=""/>
      <w:lvlJc w:val="left"/>
      <w:pPr>
        <w:tabs>
          <w:tab w:val="num" w:pos="5040"/>
        </w:tabs>
        <w:ind w:left="5040" w:hanging="360"/>
      </w:pPr>
      <w:rPr>
        <w:rFonts w:ascii="Symbol" w:hAnsi="Symbol" w:hint="default"/>
      </w:rPr>
    </w:lvl>
    <w:lvl w:ilvl="7" w:tplc="6E205040" w:tentative="1">
      <w:start w:val="1"/>
      <w:numFmt w:val="bullet"/>
      <w:lvlText w:val=""/>
      <w:lvlJc w:val="left"/>
      <w:pPr>
        <w:tabs>
          <w:tab w:val="num" w:pos="5760"/>
        </w:tabs>
        <w:ind w:left="5760" w:hanging="360"/>
      </w:pPr>
      <w:rPr>
        <w:rFonts w:ascii="Symbol" w:hAnsi="Symbol" w:hint="default"/>
      </w:rPr>
    </w:lvl>
    <w:lvl w:ilvl="8" w:tplc="F75E98FA"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BF45CE"/>
    <w:multiLevelType w:val="hybridMultilevel"/>
    <w:tmpl w:val="476C48BA"/>
    <w:lvl w:ilvl="0" w:tplc="70563196">
      <w:numFmt w:val="bullet"/>
      <w:lvlText w:val="-"/>
      <w:lvlJc w:val="left"/>
      <w:pPr>
        <w:ind w:left="720" w:hanging="360"/>
      </w:pPr>
      <w:rPr>
        <w:rFonts w:ascii="Times New Roman" w:eastAsia="DengXi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C9F6F2E"/>
    <w:multiLevelType w:val="hybridMultilevel"/>
    <w:tmpl w:val="30F6C91C"/>
    <w:lvl w:ilvl="0" w:tplc="20000019">
      <w:start w:val="1"/>
      <w:numFmt w:val="lowerLetter"/>
      <w:lvlText w:val="%1."/>
      <w:lvlJc w:val="left"/>
      <w:pPr>
        <w:tabs>
          <w:tab w:val="num" w:pos="1494"/>
        </w:tabs>
        <w:ind w:left="1494"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40B114C5"/>
    <w:multiLevelType w:val="hybridMultilevel"/>
    <w:tmpl w:val="DF7C4020"/>
    <w:lvl w:ilvl="0" w:tplc="F1FCEF8E">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B6B19B1"/>
    <w:multiLevelType w:val="hybridMultilevel"/>
    <w:tmpl w:val="8F3452F2"/>
    <w:lvl w:ilvl="0" w:tplc="C24C7360">
      <w:start w:val="2"/>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DC8338B"/>
    <w:multiLevelType w:val="hybridMultilevel"/>
    <w:tmpl w:val="27B47CEE"/>
    <w:lvl w:ilvl="0" w:tplc="3CD4E37C">
      <w:start w:val="1"/>
      <w:numFmt w:val="bullet"/>
      <w:lvlText w:val=""/>
      <w:lvlJc w:val="left"/>
      <w:pPr>
        <w:tabs>
          <w:tab w:val="num" w:pos="720"/>
        </w:tabs>
        <w:ind w:left="720" w:hanging="360"/>
      </w:pPr>
      <w:rPr>
        <w:rFonts w:ascii="Symbol" w:hAnsi="Symbol" w:hint="default"/>
      </w:rPr>
    </w:lvl>
    <w:lvl w:ilvl="1" w:tplc="B3347992" w:tentative="1">
      <w:start w:val="1"/>
      <w:numFmt w:val="bullet"/>
      <w:lvlText w:val=""/>
      <w:lvlJc w:val="left"/>
      <w:pPr>
        <w:tabs>
          <w:tab w:val="num" w:pos="1440"/>
        </w:tabs>
        <w:ind w:left="1440" w:hanging="360"/>
      </w:pPr>
      <w:rPr>
        <w:rFonts w:ascii="Symbol" w:hAnsi="Symbol" w:hint="default"/>
      </w:rPr>
    </w:lvl>
    <w:lvl w:ilvl="2" w:tplc="7044574A" w:tentative="1">
      <w:start w:val="1"/>
      <w:numFmt w:val="bullet"/>
      <w:lvlText w:val=""/>
      <w:lvlJc w:val="left"/>
      <w:pPr>
        <w:tabs>
          <w:tab w:val="num" w:pos="2160"/>
        </w:tabs>
        <w:ind w:left="2160" w:hanging="360"/>
      </w:pPr>
      <w:rPr>
        <w:rFonts w:ascii="Symbol" w:hAnsi="Symbol" w:hint="default"/>
      </w:rPr>
    </w:lvl>
    <w:lvl w:ilvl="3" w:tplc="09124110" w:tentative="1">
      <w:start w:val="1"/>
      <w:numFmt w:val="bullet"/>
      <w:lvlText w:val=""/>
      <w:lvlJc w:val="left"/>
      <w:pPr>
        <w:tabs>
          <w:tab w:val="num" w:pos="2880"/>
        </w:tabs>
        <w:ind w:left="2880" w:hanging="360"/>
      </w:pPr>
      <w:rPr>
        <w:rFonts w:ascii="Symbol" w:hAnsi="Symbol" w:hint="default"/>
      </w:rPr>
    </w:lvl>
    <w:lvl w:ilvl="4" w:tplc="829E4DDE" w:tentative="1">
      <w:start w:val="1"/>
      <w:numFmt w:val="bullet"/>
      <w:lvlText w:val=""/>
      <w:lvlJc w:val="left"/>
      <w:pPr>
        <w:tabs>
          <w:tab w:val="num" w:pos="3600"/>
        </w:tabs>
        <w:ind w:left="3600" w:hanging="360"/>
      </w:pPr>
      <w:rPr>
        <w:rFonts w:ascii="Symbol" w:hAnsi="Symbol" w:hint="default"/>
      </w:rPr>
    </w:lvl>
    <w:lvl w:ilvl="5" w:tplc="A28A183E" w:tentative="1">
      <w:start w:val="1"/>
      <w:numFmt w:val="bullet"/>
      <w:lvlText w:val=""/>
      <w:lvlJc w:val="left"/>
      <w:pPr>
        <w:tabs>
          <w:tab w:val="num" w:pos="4320"/>
        </w:tabs>
        <w:ind w:left="4320" w:hanging="360"/>
      </w:pPr>
      <w:rPr>
        <w:rFonts w:ascii="Symbol" w:hAnsi="Symbol" w:hint="default"/>
      </w:rPr>
    </w:lvl>
    <w:lvl w:ilvl="6" w:tplc="5D3ADE00" w:tentative="1">
      <w:start w:val="1"/>
      <w:numFmt w:val="bullet"/>
      <w:lvlText w:val=""/>
      <w:lvlJc w:val="left"/>
      <w:pPr>
        <w:tabs>
          <w:tab w:val="num" w:pos="5040"/>
        </w:tabs>
        <w:ind w:left="5040" w:hanging="360"/>
      </w:pPr>
      <w:rPr>
        <w:rFonts w:ascii="Symbol" w:hAnsi="Symbol" w:hint="default"/>
      </w:rPr>
    </w:lvl>
    <w:lvl w:ilvl="7" w:tplc="22965E1C" w:tentative="1">
      <w:start w:val="1"/>
      <w:numFmt w:val="bullet"/>
      <w:lvlText w:val=""/>
      <w:lvlJc w:val="left"/>
      <w:pPr>
        <w:tabs>
          <w:tab w:val="num" w:pos="5760"/>
        </w:tabs>
        <w:ind w:left="5760" w:hanging="360"/>
      </w:pPr>
      <w:rPr>
        <w:rFonts w:ascii="Symbol" w:hAnsi="Symbol" w:hint="default"/>
      </w:rPr>
    </w:lvl>
    <w:lvl w:ilvl="8" w:tplc="E8BE523E"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4ED466A9"/>
    <w:multiLevelType w:val="hybridMultilevel"/>
    <w:tmpl w:val="339E7E04"/>
    <w:lvl w:ilvl="0" w:tplc="89E8211A">
      <w:start w:val="2"/>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4FFD5917"/>
    <w:multiLevelType w:val="hybridMultilevel"/>
    <w:tmpl w:val="2D14BC78"/>
    <w:lvl w:ilvl="0" w:tplc="F5ECE624">
      <w:start w:val="1"/>
      <w:numFmt w:val="bullet"/>
      <w:lvlText w:val="›"/>
      <w:lvlJc w:val="left"/>
      <w:pPr>
        <w:tabs>
          <w:tab w:val="num" w:pos="720"/>
        </w:tabs>
        <w:ind w:left="720" w:hanging="360"/>
      </w:pPr>
      <w:rPr>
        <w:rFonts w:ascii="Arial" w:hAnsi="Arial" w:hint="default"/>
      </w:rPr>
    </w:lvl>
    <w:lvl w:ilvl="1" w:tplc="8E34DC96">
      <w:numFmt w:val="bullet"/>
      <w:lvlText w:val="—"/>
      <w:lvlJc w:val="left"/>
      <w:pPr>
        <w:tabs>
          <w:tab w:val="num" w:pos="1440"/>
        </w:tabs>
        <w:ind w:left="1440" w:hanging="360"/>
      </w:pPr>
      <w:rPr>
        <w:rFonts w:ascii="Ericsson Hilda Light" w:hAnsi="Ericsson Hilda Light" w:hint="default"/>
      </w:rPr>
    </w:lvl>
    <w:lvl w:ilvl="2" w:tplc="1F2C3824">
      <w:numFmt w:val="bullet"/>
      <w:lvlText w:val="—"/>
      <w:lvlJc w:val="left"/>
      <w:pPr>
        <w:tabs>
          <w:tab w:val="num" w:pos="2160"/>
        </w:tabs>
        <w:ind w:left="2160" w:hanging="360"/>
      </w:pPr>
      <w:rPr>
        <w:rFonts w:ascii="Ericsson Hilda Light" w:hAnsi="Ericsson Hilda Light" w:hint="default"/>
      </w:rPr>
    </w:lvl>
    <w:lvl w:ilvl="3" w:tplc="4594C23E" w:tentative="1">
      <w:start w:val="1"/>
      <w:numFmt w:val="bullet"/>
      <w:lvlText w:val="›"/>
      <w:lvlJc w:val="left"/>
      <w:pPr>
        <w:tabs>
          <w:tab w:val="num" w:pos="2880"/>
        </w:tabs>
        <w:ind w:left="2880" w:hanging="360"/>
      </w:pPr>
      <w:rPr>
        <w:rFonts w:ascii="Arial" w:hAnsi="Arial" w:hint="default"/>
      </w:rPr>
    </w:lvl>
    <w:lvl w:ilvl="4" w:tplc="418E6824" w:tentative="1">
      <w:start w:val="1"/>
      <w:numFmt w:val="bullet"/>
      <w:lvlText w:val="›"/>
      <w:lvlJc w:val="left"/>
      <w:pPr>
        <w:tabs>
          <w:tab w:val="num" w:pos="3600"/>
        </w:tabs>
        <w:ind w:left="3600" w:hanging="360"/>
      </w:pPr>
      <w:rPr>
        <w:rFonts w:ascii="Arial" w:hAnsi="Arial" w:hint="default"/>
      </w:rPr>
    </w:lvl>
    <w:lvl w:ilvl="5" w:tplc="84788CFA" w:tentative="1">
      <w:start w:val="1"/>
      <w:numFmt w:val="bullet"/>
      <w:lvlText w:val="›"/>
      <w:lvlJc w:val="left"/>
      <w:pPr>
        <w:tabs>
          <w:tab w:val="num" w:pos="4320"/>
        </w:tabs>
        <w:ind w:left="4320" w:hanging="360"/>
      </w:pPr>
      <w:rPr>
        <w:rFonts w:ascii="Arial" w:hAnsi="Arial" w:hint="default"/>
      </w:rPr>
    </w:lvl>
    <w:lvl w:ilvl="6" w:tplc="F808DD76" w:tentative="1">
      <w:start w:val="1"/>
      <w:numFmt w:val="bullet"/>
      <w:lvlText w:val="›"/>
      <w:lvlJc w:val="left"/>
      <w:pPr>
        <w:tabs>
          <w:tab w:val="num" w:pos="5040"/>
        </w:tabs>
        <w:ind w:left="5040" w:hanging="360"/>
      </w:pPr>
      <w:rPr>
        <w:rFonts w:ascii="Arial" w:hAnsi="Arial" w:hint="default"/>
      </w:rPr>
    </w:lvl>
    <w:lvl w:ilvl="7" w:tplc="B8401E16" w:tentative="1">
      <w:start w:val="1"/>
      <w:numFmt w:val="bullet"/>
      <w:lvlText w:val="›"/>
      <w:lvlJc w:val="left"/>
      <w:pPr>
        <w:tabs>
          <w:tab w:val="num" w:pos="5760"/>
        </w:tabs>
        <w:ind w:left="5760" w:hanging="360"/>
      </w:pPr>
      <w:rPr>
        <w:rFonts w:ascii="Arial" w:hAnsi="Arial" w:hint="default"/>
      </w:rPr>
    </w:lvl>
    <w:lvl w:ilvl="8" w:tplc="A3EE765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1C403C4"/>
    <w:multiLevelType w:val="hybridMultilevel"/>
    <w:tmpl w:val="218C56DE"/>
    <w:lvl w:ilvl="0" w:tplc="D20467D0">
      <w:start w:val="2"/>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B807C3A"/>
    <w:multiLevelType w:val="hybridMultilevel"/>
    <w:tmpl w:val="1402EB84"/>
    <w:lvl w:ilvl="0" w:tplc="1304FA12">
      <w:start w:val="1"/>
      <w:numFmt w:val="bullet"/>
      <w:lvlText w:val="-"/>
      <w:lvlJc w:val="left"/>
      <w:pPr>
        <w:ind w:left="720" w:hanging="360"/>
      </w:pPr>
      <w:rPr>
        <w:rFonts w:ascii="Calibri" w:hAnsi="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7" w15:restartNumberingAfterBreak="0">
    <w:nsid w:val="68B948CF"/>
    <w:multiLevelType w:val="hybridMultilevel"/>
    <w:tmpl w:val="D8B41B7C"/>
    <w:lvl w:ilvl="0" w:tplc="70563196">
      <w:numFmt w:val="bullet"/>
      <w:lvlText w:val="-"/>
      <w:lvlJc w:val="left"/>
      <w:pPr>
        <w:ind w:left="720" w:hanging="360"/>
      </w:pPr>
      <w:rPr>
        <w:rFonts w:ascii="Times New Roman" w:eastAsia="DengXi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1494"/>
        </w:tabs>
        <w:ind w:left="1494"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0C50824"/>
    <w:multiLevelType w:val="hybridMultilevel"/>
    <w:tmpl w:val="E478515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2" w15:restartNumberingAfterBreak="0">
    <w:nsid w:val="75BF5FD8"/>
    <w:multiLevelType w:val="hybridMultilevel"/>
    <w:tmpl w:val="63309CC4"/>
    <w:lvl w:ilvl="0" w:tplc="AC468A12">
      <w:start w:val="2"/>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4" w15:restartNumberingAfterBreak="0">
    <w:nsid w:val="7D853957"/>
    <w:multiLevelType w:val="hybridMultilevel"/>
    <w:tmpl w:val="AE601014"/>
    <w:lvl w:ilvl="0" w:tplc="9F6C62F4">
      <w:start w:val="2"/>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3"/>
  </w:num>
  <w:num w:numId="2">
    <w:abstractNumId w:val="27"/>
  </w:num>
  <w:num w:numId="3">
    <w:abstractNumId w:val="19"/>
  </w:num>
  <w:num w:numId="4">
    <w:abstractNumId w:val="21"/>
  </w:num>
  <w:num w:numId="5">
    <w:abstractNumId w:val="15"/>
  </w:num>
  <w:num w:numId="6">
    <w:abstractNumId w:val="25"/>
  </w:num>
  <w:num w:numId="7">
    <w:abstractNumId w:val="34"/>
  </w:num>
  <w:num w:numId="8">
    <w:abstractNumId w:val="16"/>
  </w:num>
  <w:num w:numId="9">
    <w:abstractNumId w:val="14"/>
  </w:num>
  <w:num w:numId="10">
    <w:abstractNumId w:val="2"/>
  </w:num>
  <w:num w:numId="11">
    <w:abstractNumId w:val="1"/>
  </w:num>
  <w:num w:numId="12">
    <w:abstractNumId w:val="0"/>
  </w:num>
  <w:num w:numId="13">
    <w:abstractNumId w:val="31"/>
  </w:num>
  <w:num w:numId="14">
    <w:abstractNumId w:val="33"/>
  </w:num>
  <w:num w:numId="15">
    <w:abstractNumId w:val="23"/>
  </w:num>
  <w:num w:numId="16">
    <w:abstractNumId w:val="36"/>
  </w:num>
  <w:num w:numId="17">
    <w:abstractNumId w:val="12"/>
  </w:num>
  <w:num w:numId="18">
    <w:abstractNumId w:val="13"/>
  </w:num>
  <w:num w:numId="19">
    <w:abstractNumId w:val="7"/>
  </w:num>
  <w:num w:numId="20">
    <w:abstractNumId w:val="41"/>
  </w:num>
  <w:num w:numId="21">
    <w:abstractNumId w:val="17"/>
  </w:num>
  <w:num w:numId="22">
    <w:abstractNumId w:val="38"/>
  </w:num>
  <w:num w:numId="23">
    <w:abstractNumId w:val="32"/>
  </w:num>
  <w:num w:numId="24">
    <w:abstractNumId w:val="4"/>
  </w:num>
  <w:num w:numId="25">
    <w:abstractNumId w:val="44"/>
  </w:num>
  <w:num w:numId="26">
    <w:abstractNumId w:val="43"/>
  </w:num>
  <w:num w:numId="27">
    <w:abstractNumId w:val="39"/>
  </w:num>
  <w:num w:numId="28">
    <w:abstractNumId w:val="42"/>
  </w:num>
  <w:num w:numId="29">
    <w:abstractNumId w:val="24"/>
  </w:num>
  <w:num w:numId="30">
    <w:abstractNumId w:val="6"/>
  </w:num>
  <w:num w:numId="31">
    <w:abstractNumId w:val="30"/>
  </w:num>
  <w:num w:numId="32">
    <w:abstractNumId w:val="20"/>
  </w:num>
  <w:num w:numId="33">
    <w:abstractNumId w:val="40"/>
  </w:num>
  <w:num w:numId="34">
    <w:abstractNumId w:val="37"/>
  </w:num>
  <w:num w:numId="35">
    <w:abstractNumId w:val="10"/>
  </w:num>
  <w:num w:numId="36">
    <w:abstractNumId w:val="8"/>
  </w:num>
  <w:num w:numId="37">
    <w:abstractNumId w:val="26"/>
  </w:num>
  <w:num w:numId="38">
    <w:abstractNumId w:val="29"/>
  </w:num>
  <w:num w:numId="39">
    <w:abstractNumId w:val="35"/>
  </w:num>
  <w:num w:numId="40">
    <w:abstractNumId w:val="11"/>
  </w:num>
  <w:num w:numId="41">
    <w:abstractNumId w:val="28"/>
  </w:num>
  <w:num w:numId="42">
    <w:abstractNumId w:val="9"/>
  </w:num>
  <w:num w:numId="43">
    <w:abstractNumId w:val="18"/>
  </w:num>
  <w:num w:numId="44">
    <w:abstractNumId w:val="39"/>
  </w:num>
  <w:num w:numId="45">
    <w:abstractNumId w:val="22"/>
  </w:num>
  <w:num w:numId="46">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6E1"/>
    <w:rsid w:val="00002A37"/>
    <w:rsid w:val="0000564C"/>
    <w:rsid w:val="00006446"/>
    <w:rsid w:val="00006896"/>
    <w:rsid w:val="00007A82"/>
    <w:rsid w:val="00007CDC"/>
    <w:rsid w:val="00011B28"/>
    <w:rsid w:val="00012D9C"/>
    <w:rsid w:val="00015D15"/>
    <w:rsid w:val="00016CB9"/>
    <w:rsid w:val="00021683"/>
    <w:rsid w:val="00021B17"/>
    <w:rsid w:val="00023AE8"/>
    <w:rsid w:val="0002564D"/>
    <w:rsid w:val="00025ECA"/>
    <w:rsid w:val="00027786"/>
    <w:rsid w:val="000314CC"/>
    <w:rsid w:val="000325B8"/>
    <w:rsid w:val="00032AC8"/>
    <w:rsid w:val="00033AA3"/>
    <w:rsid w:val="00034C15"/>
    <w:rsid w:val="00036BA1"/>
    <w:rsid w:val="0004135B"/>
    <w:rsid w:val="000422E2"/>
    <w:rsid w:val="00042A69"/>
    <w:rsid w:val="00042F22"/>
    <w:rsid w:val="000444EF"/>
    <w:rsid w:val="0004782E"/>
    <w:rsid w:val="000501A7"/>
    <w:rsid w:val="00050F40"/>
    <w:rsid w:val="00052A07"/>
    <w:rsid w:val="000534E3"/>
    <w:rsid w:val="00054275"/>
    <w:rsid w:val="0005606A"/>
    <w:rsid w:val="0005635F"/>
    <w:rsid w:val="0005678A"/>
    <w:rsid w:val="00057117"/>
    <w:rsid w:val="000578ED"/>
    <w:rsid w:val="00060620"/>
    <w:rsid w:val="000606BE"/>
    <w:rsid w:val="000616E7"/>
    <w:rsid w:val="0006487E"/>
    <w:rsid w:val="000657D9"/>
    <w:rsid w:val="00065E1A"/>
    <w:rsid w:val="00066FF9"/>
    <w:rsid w:val="000732D8"/>
    <w:rsid w:val="00077E5F"/>
    <w:rsid w:val="0008036A"/>
    <w:rsid w:val="000819EA"/>
    <w:rsid w:val="00081AE6"/>
    <w:rsid w:val="0008356A"/>
    <w:rsid w:val="00084FF1"/>
    <w:rsid w:val="000855EB"/>
    <w:rsid w:val="00085B52"/>
    <w:rsid w:val="000866F2"/>
    <w:rsid w:val="0009009F"/>
    <w:rsid w:val="00091557"/>
    <w:rsid w:val="000924C1"/>
    <w:rsid w:val="000924F0"/>
    <w:rsid w:val="000931F4"/>
    <w:rsid w:val="00093474"/>
    <w:rsid w:val="0009510F"/>
    <w:rsid w:val="000A0A4C"/>
    <w:rsid w:val="000A1B7B"/>
    <w:rsid w:val="000A20EE"/>
    <w:rsid w:val="000A56F2"/>
    <w:rsid w:val="000A5D3D"/>
    <w:rsid w:val="000A754B"/>
    <w:rsid w:val="000A76E5"/>
    <w:rsid w:val="000A7D03"/>
    <w:rsid w:val="000B05A2"/>
    <w:rsid w:val="000B2719"/>
    <w:rsid w:val="000B3A8F"/>
    <w:rsid w:val="000B3B1B"/>
    <w:rsid w:val="000B4AB9"/>
    <w:rsid w:val="000B58C3"/>
    <w:rsid w:val="000B61E9"/>
    <w:rsid w:val="000C165A"/>
    <w:rsid w:val="000C2E19"/>
    <w:rsid w:val="000C58E6"/>
    <w:rsid w:val="000D0D07"/>
    <w:rsid w:val="000D4797"/>
    <w:rsid w:val="000D5390"/>
    <w:rsid w:val="000D63B2"/>
    <w:rsid w:val="000E0527"/>
    <w:rsid w:val="000E1E92"/>
    <w:rsid w:val="000E483E"/>
    <w:rsid w:val="000F06D6"/>
    <w:rsid w:val="000F0EB1"/>
    <w:rsid w:val="000F1106"/>
    <w:rsid w:val="000F2FEA"/>
    <w:rsid w:val="000F3BE9"/>
    <w:rsid w:val="000F3F6C"/>
    <w:rsid w:val="000F4330"/>
    <w:rsid w:val="000F52A0"/>
    <w:rsid w:val="000F6DF3"/>
    <w:rsid w:val="001005FF"/>
    <w:rsid w:val="00101ED4"/>
    <w:rsid w:val="001028BF"/>
    <w:rsid w:val="001062FB"/>
    <w:rsid w:val="001063E6"/>
    <w:rsid w:val="0010754C"/>
    <w:rsid w:val="0011162F"/>
    <w:rsid w:val="00113CF4"/>
    <w:rsid w:val="001153EA"/>
    <w:rsid w:val="00115643"/>
    <w:rsid w:val="0011632E"/>
    <w:rsid w:val="00116765"/>
    <w:rsid w:val="001205C1"/>
    <w:rsid w:val="00120955"/>
    <w:rsid w:val="001219F5"/>
    <w:rsid w:val="00121A20"/>
    <w:rsid w:val="00122A9B"/>
    <w:rsid w:val="0012377F"/>
    <w:rsid w:val="00124314"/>
    <w:rsid w:val="00126B4A"/>
    <w:rsid w:val="00132B58"/>
    <w:rsid w:val="00132FD0"/>
    <w:rsid w:val="001339FD"/>
    <w:rsid w:val="00133FFD"/>
    <w:rsid w:val="001344C0"/>
    <w:rsid w:val="001345C8"/>
    <w:rsid w:val="001346FA"/>
    <w:rsid w:val="00135252"/>
    <w:rsid w:val="00135FF4"/>
    <w:rsid w:val="00137AB5"/>
    <w:rsid w:val="00137F0B"/>
    <w:rsid w:val="001431AA"/>
    <w:rsid w:val="001476B2"/>
    <w:rsid w:val="00150866"/>
    <w:rsid w:val="00151E23"/>
    <w:rsid w:val="001526E0"/>
    <w:rsid w:val="0015279E"/>
    <w:rsid w:val="00154097"/>
    <w:rsid w:val="001551B5"/>
    <w:rsid w:val="001562F0"/>
    <w:rsid w:val="001659C1"/>
    <w:rsid w:val="00165E00"/>
    <w:rsid w:val="001678D3"/>
    <w:rsid w:val="00170B9B"/>
    <w:rsid w:val="00173A8E"/>
    <w:rsid w:val="0017502C"/>
    <w:rsid w:val="0018143F"/>
    <w:rsid w:val="00181FF8"/>
    <w:rsid w:val="001850DC"/>
    <w:rsid w:val="00187AAB"/>
    <w:rsid w:val="00190AC1"/>
    <w:rsid w:val="0019341A"/>
    <w:rsid w:val="00197DF9"/>
    <w:rsid w:val="001A0280"/>
    <w:rsid w:val="001A1987"/>
    <w:rsid w:val="001A2564"/>
    <w:rsid w:val="001A4729"/>
    <w:rsid w:val="001A6173"/>
    <w:rsid w:val="001A6CBA"/>
    <w:rsid w:val="001A715B"/>
    <w:rsid w:val="001B0D97"/>
    <w:rsid w:val="001B290A"/>
    <w:rsid w:val="001B370C"/>
    <w:rsid w:val="001B5A5D"/>
    <w:rsid w:val="001B7D13"/>
    <w:rsid w:val="001C1CE5"/>
    <w:rsid w:val="001C3D2A"/>
    <w:rsid w:val="001D080C"/>
    <w:rsid w:val="001D0CEC"/>
    <w:rsid w:val="001D1874"/>
    <w:rsid w:val="001D4AC3"/>
    <w:rsid w:val="001D51BA"/>
    <w:rsid w:val="001D53E7"/>
    <w:rsid w:val="001D6342"/>
    <w:rsid w:val="001D6D53"/>
    <w:rsid w:val="001E47D8"/>
    <w:rsid w:val="001E4C42"/>
    <w:rsid w:val="001E58E2"/>
    <w:rsid w:val="001E7AED"/>
    <w:rsid w:val="001F3916"/>
    <w:rsid w:val="001F3FA2"/>
    <w:rsid w:val="001F49D9"/>
    <w:rsid w:val="001F54C5"/>
    <w:rsid w:val="001F662C"/>
    <w:rsid w:val="001F7074"/>
    <w:rsid w:val="00200490"/>
    <w:rsid w:val="00201F3A"/>
    <w:rsid w:val="00203F96"/>
    <w:rsid w:val="002069B2"/>
    <w:rsid w:val="0020791E"/>
    <w:rsid w:val="00207FA3"/>
    <w:rsid w:val="002139AC"/>
    <w:rsid w:val="0021406B"/>
    <w:rsid w:val="00214DA8"/>
    <w:rsid w:val="00215423"/>
    <w:rsid w:val="002158FA"/>
    <w:rsid w:val="00215D78"/>
    <w:rsid w:val="00220600"/>
    <w:rsid w:val="002224DB"/>
    <w:rsid w:val="00223FCB"/>
    <w:rsid w:val="002252C3"/>
    <w:rsid w:val="00225C54"/>
    <w:rsid w:val="00225E90"/>
    <w:rsid w:val="0023069E"/>
    <w:rsid w:val="00230765"/>
    <w:rsid w:val="00230D18"/>
    <w:rsid w:val="002319E4"/>
    <w:rsid w:val="00235632"/>
    <w:rsid w:val="00235872"/>
    <w:rsid w:val="00241559"/>
    <w:rsid w:val="00241D06"/>
    <w:rsid w:val="002435B3"/>
    <w:rsid w:val="002458EB"/>
    <w:rsid w:val="00246C38"/>
    <w:rsid w:val="002500C8"/>
    <w:rsid w:val="00251431"/>
    <w:rsid w:val="00252D68"/>
    <w:rsid w:val="00253094"/>
    <w:rsid w:val="002539FC"/>
    <w:rsid w:val="00254D65"/>
    <w:rsid w:val="002556FA"/>
    <w:rsid w:val="00256A06"/>
    <w:rsid w:val="00257543"/>
    <w:rsid w:val="002617E7"/>
    <w:rsid w:val="00261C7F"/>
    <w:rsid w:val="00264228"/>
    <w:rsid w:val="00264334"/>
    <w:rsid w:val="0026473E"/>
    <w:rsid w:val="00266214"/>
    <w:rsid w:val="00267C83"/>
    <w:rsid w:val="0027144F"/>
    <w:rsid w:val="00271478"/>
    <w:rsid w:val="0027161D"/>
    <w:rsid w:val="00271813"/>
    <w:rsid w:val="00271F3A"/>
    <w:rsid w:val="00273278"/>
    <w:rsid w:val="002737F4"/>
    <w:rsid w:val="0027449B"/>
    <w:rsid w:val="002805F5"/>
    <w:rsid w:val="00280751"/>
    <w:rsid w:val="00280917"/>
    <w:rsid w:val="002818CA"/>
    <w:rsid w:val="00282415"/>
    <w:rsid w:val="0028280A"/>
    <w:rsid w:val="00282ED7"/>
    <w:rsid w:val="0028502A"/>
    <w:rsid w:val="00286ACD"/>
    <w:rsid w:val="00287838"/>
    <w:rsid w:val="002907B5"/>
    <w:rsid w:val="00292EB7"/>
    <w:rsid w:val="0029433E"/>
    <w:rsid w:val="00296227"/>
    <w:rsid w:val="00296F44"/>
    <w:rsid w:val="00297523"/>
    <w:rsid w:val="00297581"/>
    <w:rsid w:val="0029777D"/>
    <w:rsid w:val="002978A5"/>
    <w:rsid w:val="002A04C9"/>
    <w:rsid w:val="002A055E"/>
    <w:rsid w:val="002A1D4E"/>
    <w:rsid w:val="002A2869"/>
    <w:rsid w:val="002A5354"/>
    <w:rsid w:val="002B24D6"/>
    <w:rsid w:val="002C0C34"/>
    <w:rsid w:val="002C3E6C"/>
    <w:rsid w:val="002C41E6"/>
    <w:rsid w:val="002C7718"/>
    <w:rsid w:val="002D071A"/>
    <w:rsid w:val="002D0C4F"/>
    <w:rsid w:val="002D1B04"/>
    <w:rsid w:val="002D34B2"/>
    <w:rsid w:val="002D4893"/>
    <w:rsid w:val="002D48B0"/>
    <w:rsid w:val="002D5B37"/>
    <w:rsid w:val="002D6328"/>
    <w:rsid w:val="002D6FB9"/>
    <w:rsid w:val="002D7637"/>
    <w:rsid w:val="002E17F2"/>
    <w:rsid w:val="002E2B8F"/>
    <w:rsid w:val="002E67BB"/>
    <w:rsid w:val="002E7133"/>
    <w:rsid w:val="002E7CAE"/>
    <w:rsid w:val="002F076B"/>
    <w:rsid w:val="002F1A6F"/>
    <w:rsid w:val="002F2242"/>
    <w:rsid w:val="002F2771"/>
    <w:rsid w:val="002F37A9"/>
    <w:rsid w:val="002F4B7C"/>
    <w:rsid w:val="002F4F7B"/>
    <w:rsid w:val="002F7FE7"/>
    <w:rsid w:val="003001F6"/>
    <w:rsid w:val="00301CE6"/>
    <w:rsid w:val="0030256B"/>
    <w:rsid w:val="0030501F"/>
    <w:rsid w:val="00305E18"/>
    <w:rsid w:val="00307BA1"/>
    <w:rsid w:val="00311702"/>
    <w:rsid w:val="00311954"/>
    <w:rsid w:val="00311E82"/>
    <w:rsid w:val="00311FBC"/>
    <w:rsid w:val="00313FD6"/>
    <w:rsid w:val="003143BD"/>
    <w:rsid w:val="003148BF"/>
    <w:rsid w:val="00315363"/>
    <w:rsid w:val="0031619C"/>
    <w:rsid w:val="003203ED"/>
    <w:rsid w:val="00320B75"/>
    <w:rsid w:val="003221C0"/>
    <w:rsid w:val="00322C9F"/>
    <w:rsid w:val="00324D23"/>
    <w:rsid w:val="00331751"/>
    <w:rsid w:val="0033291C"/>
    <w:rsid w:val="00333053"/>
    <w:rsid w:val="00334579"/>
    <w:rsid w:val="00335858"/>
    <w:rsid w:val="00336BDA"/>
    <w:rsid w:val="003379BB"/>
    <w:rsid w:val="00340588"/>
    <w:rsid w:val="00342BD7"/>
    <w:rsid w:val="003452BA"/>
    <w:rsid w:val="00346DB5"/>
    <w:rsid w:val="003477B1"/>
    <w:rsid w:val="003503B7"/>
    <w:rsid w:val="00352F7D"/>
    <w:rsid w:val="00353872"/>
    <w:rsid w:val="0035635A"/>
    <w:rsid w:val="00357380"/>
    <w:rsid w:val="003602D9"/>
    <w:rsid w:val="003604CE"/>
    <w:rsid w:val="003608B4"/>
    <w:rsid w:val="00363438"/>
    <w:rsid w:val="0036390A"/>
    <w:rsid w:val="003660AA"/>
    <w:rsid w:val="00366CA0"/>
    <w:rsid w:val="00370E47"/>
    <w:rsid w:val="00371F59"/>
    <w:rsid w:val="00372AA4"/>
    <w:rsid w:val="003742AC"/>
    <w:rsid w:val="00374562"/>
    <w:rsid w:val="00377CE1"/>
    <w:rsid w:val="003803EB"/>
    <w:rsid w:val="00382F20"/>
    <w:rsid w:val="00385BF0"/>
    <w:rsid w:val="0039323D"/>
    <w:rsid w:val="003939FF"/>
    <w:rsid w:val="00395CF4"/>
    <w:rsid w:val="003A0775"/>
    <w:rsid w:val="003A2223"/>
    <w:rsid w:val="003A2A0F"/>
    <w:rsid w:val="003A45A1"/>
    <w:rsid w:val="003A54A5"/>
    <w:rsid w:val="003A5619"/>
    <w:rsid w:val="003A5B0A"/>
    <w:rsid w:val="003A6BAC"/>
    <w:rsid w:val="003A70A4"/>
    <w:rsid w:val="003A7EF3"/>
    <w:rsid w:val="003B124D"/>
    <w:rsid w:val="003B14F1"/>
    <w:rsid w:val="003B159C"/>
    <w:rsid w:val="003B1CB6"/>
    <w:rsid w:val="003B369F"/>
    <w:rsid w:val="003B36A3"/>
    <w:rsid w:val="003B64BB"/>
    <w:rsid w:val="003B6F9E"/>
    <w:rsid w:val="003B7237"/>
    <w:rsid w:val="003B7FE5"/>
    <w:rsid w:val="003C02FD"/>
    <w:rsid w:val="003C11C8"/>
    <w:rsid w:val="003C2702"/>
    <w:rsid w:val="003C32D7"/>
    <w:rsid w:val="003C7806"/>
    <w:rsid w:val="003D109F"/>
    <w:rsid w:val="003D1417"/>
    <w:rsid w:val="003D2478"/>
    <w:rsid w:val="003D33ED"/>
    <w:rsid w:val="003D347E"/>
    <w:rsid w:val="003D3C45"/>
    <w:rsid w:val="003D5B1F"/>
    <w:rsid w:val="003D6884"/>
    <w:rsid w:val="003E15FA"/>
    <w:rsid w:val="003E399A"/>
    <w:rsid w:val="003E55E4"/>
    <w:rsid w:val="003E729D"/>
    <w:rsid w:val="003E74E3"/>
    <w:rsid w:val="003E7638"/>
    <w:rsid w:val="003E79E9"/>
    <w:rsid w:val="003F05C7"/>
    <w:rsid w:val="003F2CD4"/>
    <w:rsid w:val="003F3876"/>
    <w:rsid w:val="003F4FD4"/>
    <w:rsid w:val="003F6BBE"/>
    <w:rsid w:val="003F7595"/>
    <w:rsid w:val="004000E8"/>
    <w:rsid w:val="00402E2B"/>
    <w:rsid w:val="0040512B"/>
    <w:rsid w:val="00405CA5"/>
    <w:rsid w:val="004075EA"/>
    <w:rsid w:val="00407CD3"/>
    <w:rsid w:val="00410134"/>
    <w:rsid w:val="00410B72"/>
    <w:rsid w:val="00410F18"/>
    <w:rsid w:val="0041263E"/>
    <w:rsid w:val="00413AAC"/>
    <w:rsid w:val="00413E92"/>
    <w:rsid w:val="0041545A"/>
    <w:rsid w:val="00416EB9"/>
    <w:rsid w:val="004171C8"/>
    <w:rsid w:val="00420FC9"/>
    <w:rsid w:val="00421105"/>
    <w:rsid w:val="00422AA4"/>
    <w:rsid w:val="00423A33"/>
    <w:rsid w:val="004242F4"/>
    <w:rsid w:val="00425493"/>
    <w:rsid w:val="0042595C"/>
    <w:rsid w:val="00427248"/>
    <w:rsid w:val="004342C1"/>
    <w:rsid w:val="00434942"/>
    <w:rsid w:val="00437447"/>
    <w:rsid w:val="00437C7F"/>
    <w:rsid w:val="004412F0"/>
    <w:rsid w:val="00441A92"/>
    <w:rsid w:val="004431DC"/>
    <w:rsid w:val="00444F56"/>
    <w:rsid w:val="00446488"/>
    <w:rsid w:val="004517AA"/>
    <w:rsid w:val="00452CAC"/>
    <w:rsid w:val="0045360A"/>
    <w:rsid w:val="00454625"/>
    <w:rsid w:val="00454C7C"/>
    <w:rsid w:val="00457565"/>
    <w:rsid w:val="00457B71"/>
    <w:rsid w:val="004636F9"/>
    <w:rsid w:val="004669E2"/>
    <w:rsid w:val="004678B3"/>
    <w:rsid w:val="00467D96"/>
    <w:rsid w:val="00470C31"/>
    <w:rsid w:val="00471DE0"/>
    <w:rsid w:val="00472EF8"/>
    <w:rsid w:val="004734D0"/>
    <w:rsid w:val="00473A67"/>
    <w:rsid w:val="004747A8"/>
    <w:rsid w:val="0047556B"/>
    <w:rsid w:val="00476E45"/>
    <w:rsid w:val="00477768"/>
    <w:rsid w:val="004830AC"/>
    <w:rsid w:val="0048351B"/>
    <w:rsid w:val="00484C7F"/>
    <w:rsid w:val="004871EA"/>
    <w:rsid w:val="00492BC5"/>
    <w:rsid w:val="0049585B"/>
    <w:rsid w:val="004964F1"/>
    <w:rsid w:val="00497B03"/>
    <w:rsid w:val="004A1390"/>
    <w:rsid w:val="004A16BC"/>
    <w:rsid w:val="004A23F9"/>
    <w:rsid w:val="004A2B7E"/>
    <w:rsid w:val="004A2B94"/>
    <w:rsid w:val="004A2D00"/>
    <w:rsid w:val="004B044E"/>
    <w:rsid w:val="004B4429"/>
    <w:rsid w:val="004B6F6A"/>
    <w:rsid w:val="004B7C0C"/>
    <w:rsid w:val="004C0C10"/>
    <w:rsid w:val="004C3898"/>
    <w:rsid w:val="004D36B1"/>
    <w:rsid w:val="004D7EBD"/>
    <w:rsid w:val="004E2680"/>
    <w:rsid w:val="004E28F9"/>
    <w:rsid w:val="004E462E"/>
    <w:rsid w:val="004E56DC"/>
    <w:rsid w:val="004E76F4"/>
    <w:rsid w:val="004F0B4E"/>
    <w:rsid w:val="004F0B6C"/>
    <w:rsid w:val="004F2078"/>
    <w:rsid w:val="004F2110"/>
    <w:rsid w:val="004F4DA3"/>
    <w:rsid w:val="00501B24"/>
    <w:rsid w:val="00504E39"/>
    <w:rsid w:val="00506557"/>
    <w:rsid w:val="0050677A"/>
    <w:rsid w:val="00506AAD"/>
    <w:rsid w:val="005108D8"/>
    <w:rsid w:val="005116F9"/>
    <w:rsid w:val="00513B34"/>
    <w:rsid w:val="005153A7"/>
    <w:rsid w:val="0052116E"/>
    <w:rsid w:val="0052164F"/>
    <w:rsid w:val="005219CF"/>
    <w:rsid w:val="00526E99"/>
    <w:rsid w:val="00534B59"/>
    <w:rsid w:val="00536759"/>
    <w:rsid w:val="00536D13"/>
    <w:rsid w:val="00537C62"/>
    <w:rsid w:val="00540D16"/>
    <w:rsid w:val="00542BD2"/>
    <w:rsid w:val="00544034"/>
    <w:rsid w:val="00544980"/>
    <w:rsid w:val="00546970"/>
    <w:rsid w:val="00547918"/>
    <w:rsid w:val="00553A92"/>
    <w:rsid w:val="00553BD3"/>
    <w:rsid w:val="00554E19"/>
    <w:rsid w:val="00557606"/>
    <w:rsid w:val="0056121F"/>
    <w:rsid w:val="005626F0"/>
    <w:rsid w:val="0056318C"/>
    <w:rsid w:val="00563A8F"/>
    <w:rsid w:val="00565968"/>
    <w:rsid w:val="00572505"/>
    <w:rsid w:val="00581017"/>
    <w:rsid w:val="005814A3"/>
    <w:rsid w:val="0058250D"/>
    <w:rsid w:val="00582809"/>
    <w:rsid w:val="005874CA"/>
    <w:rsid w:val="0058798C"/>
    <w:rsid w:val="005900FA"/>
    <w:rsid w:val="005914E1"/>
    <w:rsid w:val="005935A4"/>
    <w:rsid w:val="005936C1"/>
    <w:rsid w:val="005948C2"/>
    <w:rsid w:val="00595DCA"/>
    <w:rsid w:val="00596950"/>
    <w:rsid w:val="0059779B"/>
    <w:rsid w:val="00597DCE"/>
    <w:rsid w:val="00597EC4"/>
    <w:rsid w:val="005A209A"/>
    <w:rsid w:val="005A3D9D"/>
    <w:rsid w:val="005A662D"/>
    <w:rsid w:val="005B00F4"/>
    <w:rsid w:val="005B1409"/>
    <w:rsid w:val="005B35D7"/>
    <w:rsid w:val="005B392A"/>
    <w:rsid w:val="005B39B8"/>
    <w:rsid w:val="005B3AA3"/>
    <w:rsid w:val="005B4919"/>
    <w:rsid w:val="005B6F83"/>
    <w:rsid w:val="005C2D66"/>
    <w:rsid w:val="005C4978"/>
    <w:rsid w:val="005C6D80"/>
    <w:rsid w:val="005C74FB"/>
    <w:rsid w:val="005C7AFD"/>
    <w:rsid w:val="005D1602"/>
    <w:rsid w:val="005D18A0"/>
    <w:rsid w:val="005D6AF4"/>
    <w:rsid w:val="005E03E8"/>
    <w:rsid w:val="005E385F"/>
    <w:rsid w:val="005E5B81"/>
    <w:rsid w:val="005E70AC"/>
    <w:rsid w:val="005E7FD1"/>
    <w:rsid w:val="005F0A89"/>
    <w:rsid w:val="005F1473"/>
    <w:rsid w:val="005F1B3F"/>
    <w:rsid w:val="005F2CB1"/>
    <w:rsid w:val="005F3025"/>
    <w:rsid w:val="005F319B"/>
    <w:rsid w:val="005F5351"/>
    <w:rsid w:val="005F5D69"/>
    <w:rsid w:val="005F618C"/>
    <w:rsid w:val="005F70BD"/>
    <w:rsid w:val="0060283C"/>
    <w:rsid w:val="00604F14"/>
    <w:rsid w:val="00605D7F"/>
    <w:rsid w:val="00611137"/>
    <w:rsid w:val="00611B83"/>
    <w:rsid w:val="0061231E"/>
    <w:rsid w:val="0061256E"/>
    <w:rsid w:val="00613257"/>
    <w:rsid w:val="006154C0"/>
    <w:rsid w:val="00616AB9"/>
    <w:rsid w:val="00620A71"/>
    <w:rsid w:val="00620BAF"/>
    <w:rsid w:val="00620D80"/>
    <w:rsid w:val="006234A6"/>
    <w:rsid w:val="006238F9"/>
    <w:rsid w:val="00624739"/>
    <w:rsid w:val="0062505A"/>
    <w:rsid w:val="00630001"/>
    <w:rsid w:val="0063043D"/>
    <w:rsid w:val="006311B3"/>
    <w:rsid w:val="006320E0"/>
    <w:rsid w:val="00632833"/>
    <w:rsid w:val="0063284C"/>
    <w:rsid w:val="00633070"/>
    <w:rsid w:val="00633674"/>
    <w:rsid w:val="00633B7F"/>
    <w:rsid w:val="00634ED6"/>
    <w:rsid w:val="00635AAD"/>
    <w:rsid w:val="00636398"/>
    <w:rsid w:val="006368D3"/>
    <w:rsid w:val="00636F1F"/>
    <w:rsid w:val="006377EC"/>
    <w:rsid w:val="006407A7"/>
    <w:rsid w:val="0064151F"/>
    <w:rsid w:val="00641533"/>
    <w:rsid w:val="0064208D"/>
    <w:rsid w:val="00643475"/>
    <w:rsid w:val="0064396A"/>
    <w:rsid w:val="0064624E"/>
    <w:rsid w:val="00650AB9"/>
    <w:rsid w:val="00651147"/>
    <w:rsid w:val="00653232"/>
    <w:rsid w:val="00655733"/>
    <w:rsid w:val="00655ACD"/>
    <w:rsid w:val="00656A92"/>
    <w:rsid w:val="00656DDE"/>
    <w:rsid w:val="0066011D"/>
    <w:rsid w:val="006607C0"/>
    <w:rsid w:val="006613A6"/>
    <w:rsid w:val="0066249C"/>
    <w:rsid w:val="006627A2"/>
    <w:rsid w:val="006634E6"/>
    <w:rsid w:val="006646DC"/>
    <w:rsid w:val="006655EE"/>
    <w:rsid w:val="00666D08"/>
    <w:rsid w:val="00667EE7"/>
    <w:rsid w:val="00670922"/>
    <w:rsid w:val="00670BE1"/>
    <w:rsid w:val="0067218F"/>
    <w:rsid w:val="006741F2"/>
    <w:rsid w:val="00674CC3"/>
    <w:rsid w:val="00675C72"/>
    <w:rsid w:val="006767DF"/>
    <w:rsid w:val="006769B6"/>
    <w:rsid w:val="00676E02"/>
    <w:rsid w:val="006771F9"/>
    <w:rsid w:val="006776D7"/>
    <w:rsid w:val="00681003"/>
    <w:rsid w:val="006817C9"/>
    <w:rsid w:val="00682BA2"/>
    <w:rsid w:val="0068380C"/>
    <w:rsid w:val="00683AB8"/>
    <w:rsid w:val="00683ECE"/>
    <w:rsid w:val="006848C2"/>
    <w:rsid w:val="0069027E"/>
    <w:rsid w:val="00690D5B"/>
    <w:rsid w:val="00691710"/>
    <w:rsid w:val="0069240D"/>
    <w:rsid w:val="00693333"/>
    <w:rsid w:val="00695DF3"/>
    <w:rsid w:val="00695FC2"/>
    <w:rsid w:val="00696949"/>
    <w:rsid w:val="00696C4B"/>
    <w:rsid w:val="00697052"/>
    <w:rsid w:val="006A01BE"/>
    <w:rsid w:val="006A46FB"/>
    <w:rsid w:val="006A5E28"/>
    <w:rsid w:val="006A697B"/>
    <w:rsid w:val="006A7AFF"/>
    <w:rsid w:val="006A7C2D"/>
    <w:rsid w:val="006B1816"/>
    <w:rsid w:val="006B2099"/>
    <w:rsid w:val="006B3530"/>
    <w:rsid w:val="006B50CF"/>
    <w:rsid w:val="006B5F9C"/>
    <w:rsid w:val="006C03B8"/>
    <w:rsid w:val="006C5B71"/>
    <w:rsid w:val="006C5EC9"/>
    <w:rsid w:val="006C6059"/>
    <w:rsid w:val="006C7522"/>
    <w:rsid w:val="006D0D02"/>
    <w:rsid w:val="006D44B8"/>
    <w:rsid w:val="006D6DC4"/>
    <w:rsid w:val="006D6F08"/>
    <w:rsid w:val="006E062C"/>
    <w:rsid w:val="006E1C82"/>
    <w:rsid w:val="006E28B7"/>
    <w:rsid w:val="006E2A9B"/>
    <w:rsid w:val="006E3310"/>
    <w:rsid w:val="006E3A24"/>
    <w:rsid w:val="006E3E98"/>
    <w:rsid w:val="006E42AB"/>
    <w:rsid w:val="006E4E39"/>
    <w:rsid w:val="006E565E"/>
    <w:rsid w:val="006E6126"/>
    <w:rsid w:val="006E673D"/>
    <w:rsid w:val="006E6A94"/>
    <w:rsid w:val="006E7D3B"/>
    <w:rsid w:val="006F1B70"/>
    <w:rsid w:val="006F341D"/>
    <w:rsid w:val="006F3C68"/>
    <w:rsid w:val="006F3CDE"/>
    <w:rsid w:val="006F3DFE"/>
    <w:rsid w:val="006F58D4"/>
    <w:rsid w:val="006F6582"/>
    <w:rsid w:val="006F7F01"/>
    <w:rsid w:val="00700D8E"/>
    <w:rsid w:val="00702405"/>
    <w:rsid w:val="00702754"/>
    <w:rsid w:val="0070346E"/>
    <w:rsid w:val="00704EDB"/>
    <w:rsid w:val="00706101"/>
    <w:rsid w:val="00707072"/>
    <w:rsid w:val="00707D61"/>
    <w:rsid w:val="00707E7F"/>
    <w:rsid w:val="00712287"/>
    <w:rsid w:val="00712772"/>
    <w:rsid w:val="007148D3"/>
    <w:rsid w:val="00715B9A"/>
    <w:rsid w:val="007165F2"/>
    <w:rsid w:val="00716A45"/>
    <w:rsid w:val="00716BFD"/>
    <w:rsid w:val="00716EBB"/>
    <w:rsid w:val="007257D0"/>
    <w:rsid w:val="00726EA6"/>
    <w:rsid w:val="00727208"/>
    <w:rsid w:val="00727680"/>
    <w:rsid w:val="00731689"/>
    <w:rsid w:val="00732C0D"/>
    <w:rsid w:val="007333EB"/>
    <w:rsid w:val="007348B1"/>
    <w:rsid w:val="00735AE4"/>
    <w:rsid w:val="007362A6"/>
    <w:rsid w:val="00736AE2"/>
    <w:rsid w:val="00736D7D"/>
    <w:rsid w:val="00740E58"/>
    <w:rsid w:val="0074271D"/>
    <w:rsid w:val="007445A0"/>
    <w:rsid w:val="0074524B"/>
    <w:rsid w:val="00746125"/>
    <w:rsid w:val="00747D8B"/>
    <w:rsid w:val="00751228"/>
    <w:rsid w:val="00754DEB"/>
    <w:rsid w:val="007571E1"/>
    <w:rsid w:val="00757A16"/>
    <w:rsid w:val="007604B2"/>
    <w:rsid w:val="007619BE"/>
    <w:rsid w:val="00761C9F"/>
    <w:rsid w:val="00762B2A"/>
    <w:rsid w:val="007641C9"/>
    <w:rsid w:val="00765281"/>
    <w:rsid w:val="00766BAD"/>
    <w:rsid w:val="007718FE"/>
    <w:rsid w:val="007729A2"/>
    <w:rsid w:val="007755F2"/>
    <w:rsid w:val="00775687"/>
    <w:rsid w:val="00776410"/>
    <w:rsid w:val="00776971"/>
    <w:rsid w:val="00780A80"/>
    <w:rsid w:val="0078177E"/>
    <w:rsid w:val="00781BA6"/>
    <w:rsid w:val="0078304C"/>
    <w:rsid w:val="00783673"/>
    <w:rsid w:val="00784F6B"/>
    <w:rsid w:val="00785490"/>
    <w:rsid w:val="00787B0E"/>
    <w:rsid w:val="007925EA"/>
    <w:rsid w:val="00792A77"/>
    <w:rsid w:val="007930A9"/>
    <w:rsid w:val="00793404"/>
    <w:rsid w:val="00793CD8"/>
    <w:rsid w:val="00795C92"/>
    <w:rsid w:val="00795DF7"/>
    <w:rsid w:val="00796231"/>
    <w:rsid w:val="00797F12"/>
    <w:rsid w:val="007A1CB3"/>
    <w:rsid w:val="007A306F"/>
    <w:rsid w:val="007A41EA"/>
    <w:rsid w:val="007A43A6"/>
    <w:rsid w:val="007A58A6"/>
    <w:rsid w:val="007A5ADC"/>
    <w:rsid w:val="007B39E1"/>
    <w:rsid w:val="007B3D2D"/>
    <w:rsid w:val="007B50AE"/>
    <w:rsid w:val="007B51DF"/>
    <w:rsid w:val="007B619D"/>
    <w:rsid w:val="007C05DD"/>
    <w:rsid w:val="007C1A70"/>
    <w:rsid w:val="007C3D18"/>
    <w:rsid w:val="007C60BF"/>
    <w:rsid w:val="007C6A07"/>
    <w:rsid w:val="007C75A1"/>
    <w:rsid w:val="007C77A5"/>
    <w:rsid w:val="007C7883"/>
    <w:rsid w:val="007C7C38"/>
    <w:rsid w:val="007D04E5"/>
    <w:rsid w:val="007D5901"/>
    <w:rsid w:val="007D67A6"/>
    <w:rsid w:val="007D7526"/>
    <w:rsid w:val="007D7F41"/>
    <w:rsid w:val="007E1D90"/>
    <w:rsid w:val="007E4610"/>
    <w:rsid w:val="007E4715"/>
    <w:rsid w:val="007E505B"/>
    <w:rsid w:val="007E646E"/>
    <w:rsid w:val="007E7091"/>
    <w:rsid w:val="007F6B97"/>
    <w:rsid w:val="00801ACF"/>
    <w:rsid w:val="00801C92"/>
    <w:rsid w:val="00802B94"/>
    <w:rsid w:val="00803279"/>
    <w:rsid w:val="00803FAE"/>
    <w:rsid w:val="0080605F"/>
    <w:rsid w:val="0080641A"/>
    <w:rsid w:val="00807786"/>
    <w:rsid w:val="00811FCB"/>
    <w:rsid w:val="008148D5"/>
    <w:rsid w:val="00815321"/>
    <w:rsid w:val="008158D6"/>
    <w:rsid w:val="00817196"/>
    <w:rsid w:val="00817E91"/>
    <w:rsid w:val="00821C2B"/>
    <w:rsid w:val="008235DB"/>
    <w:rsid w:val="008240A3"/>
    <w:rsid w:val="00824AB4"/>
    <w:rsid w:val="0082508F"/>
    <w:rsid w:val="00825C42"/>
    <w:rsid w:val="00825D25"/>
    <w:rsid w:val="00825D7C"/>
    <w:rsid w:val="00827313"/>
    <w:rsid w:val="00827D6F"/>
    <w:rsid w:val="00833F37"/>
    <w:rsid w:val="00835A01"/>
    <w:rsid w:val="00835E1C"/>
    <w:rsid w:val="008376AC"/>
    <w:rsid w:val="008409F6"/>
    <w:rsid w:val="0084122B"/>
    <w:rsid w:val="0084252B"/>
    <w:rsid w:val="008444E8"/>
    <w:rsid w:val="00844E80"/>
    <w:rsid w:val="00846FE7"/>
    <w:rsid w:val="008478F9"/>
    <w:rsid w:val="00847E11"/>
    <w:rsid w:val="00850627"/>
    <w:rsid w:val="00856911"/>
    <w:rsid w:val="008677FD"/>
    <w:rsid w:val="008706D4"/>
    <w:rsid w:val="00870F8A"/>
    <w:rsid w:val="008719A4"/>
    <w:rsid w:val="00871D23"/>
    <w:rsid w:val="00874312"/>
    <w:rsid w:val="0087437C"/>
    <w:rsid w:val="00875CD7"/>
    <w:rsid w:val="00876B4D"/>
    <w:rsid w:val="00877F18"/>
    <w:rsid w:val="0088117E"/>
    <w:rsid w:val="008870A3"/>
    <w:rsid w:val="0089138A"/>
    <w:rsid w:val="00891BB5"/>
    <w:rsid w:val="00891F54"/>
    <w:rsid w:val="0089220C"/>
    <w:rsid w:val="008930F3"/>
    <w:rsid w:val="008941E3"/>
    <w:rsid w:val="00894A88"/>
    <w:rsid w:val="00895386"/>
    <w:rsid w:val="00895883"/>
    <w:rsid w:val="008978A9"/>
    <w:rsid w:val="008A21FF"/>
    <w:rsid w:val="008A2CE2"/>
    <w:rsid w:val="008A30AC"/>
    <w:rsid w:val="008A44B8"/>
    <w:rsid w:val="008A51A8"/>
    <w:rsid w:val="008A54C7"/>
    <w:rsid w:val="008A6729"/>
    <w:rsid w:val="008A77D8"/>
    <w:rsid w:val="008B0483"/>
    <w:rsid w:val="008B082C"/>
    <w:rsid w:val="008B120C"/>
    <w:rsid w:val="008B5010"/>
    <w:rsid w:val="008B51A0"/>
    <w:rsid w:val="008B592A"/>
    <w:rsid w:val="008B5B1F"/>
    <w:rsid w:val="008B7B5C"/>
    <w:rsid w:val="008C0C99"/>
    <w:rsid w:val="008C2017"/>
    <w:rsid w:val="008C2DAD"/>
    <w:rsid w:val="008C2DD5"/>
    <w:rsid w:val="008C301B"/>
    <w:rsid w:val="008C387A"/>
    <w:rsid w:val="008C439D"/>
    <w:rsid w:val="008C4958"/>
    <w:rsid w:val="008C4BAA"/>
    <w:rsid w:val="008C6AE8"/>
    <w:rsid w:val="008C6C13"/>
    <w:rsid w:val="008C7573"/>
    <w:rsid w:val="008D00A5"/>
    <w:rsid w:val="008D1938"/>
    <w:rsid w:val="008D34F1"/>
    <w:rsid w:val="008D39D8"/>
    <w:rsid w:val="008D47C0"/>
    <w:rsid w:val="008D69D8"/>
    <w:rsid w:val="008D6D1A"/>
    <w:rsid w:val="008E065E"/>
    <w:rsid w:val="008E0927"/>
    <w:rsid w:val="008E1909"/>
    <w:rsid w:val="008E4286"/>
    <w:rsid w:val="008E66CC"/>
    <w:rsid w:val="008E73A4"/>
    <w:rsid w:val="008F0718"/>
    <w:rsid w:val="008F1EAB"/>
    <w:rsid w:val="008F33DC"/>
    <w:rsid w:val="008F477F"/>
    <w:rsid w:val="00900212"/>
    <w:rsid w:val="00902350"/>
    <w:rsid w:val="0090336B"/>
    <w:rsid w:val="009053AA"/>
    <w:rsid w:val="00906939"/>
    <w:rsid w:val="00906CDE"/>
    <w:rsid w:val="00910B7D"/>
    <w:rsid w:val="00911DFB"/>
    <w:rsid w:val="0091389E"/>
    <w:rsid w:val="009139D9"/>
    <w:rsid w:val="00913DAA"/>
    <w:rsid w:val="00914AD8"/>
    <w:rsid w:val="00916079"/>
    <w:rsid w:val="009177B7"/>
    <w:rsid w:val="00917CE9"/>
    <w:rsid w:val="00920731"/>
    <w:rsid w:val="00920BF2"/>
    <w:rsid w:val="00920FDC"/>
    <w:rsid w:val="009210A2"/>
    <w:rsid w:val="00922010"/>
    <w:rsid w:val="009245A2"/>
    <w:rsid w:val="009260C4"/>
    <w:rsid w:val="00931BD9"/>
    <w:rsid w:val="00932AB1"/>
    <w:rsid w:val="00932D89"/>
    <w:rsid w:val="00932F86"/>
    <w:rsid w:val="00934AF5"/>
    <w:rsid w:val="009368F3"/>
    <w:rsid w:val="00936D11"/>
    <w:rsid w:val="00937B32"/>
    <w:rsid w:val="0094033A"/>
    <w:rsid w:val="00941636"/>
    <w:rsid w:val="00943742"/>
    <w:rsid w:val="00945C05"/>
    <w:rsid w:val="00946945"/>
    <w:rsid w:val="00947713"/>
    <w:rsid w:val="00950DE7"/>
    <w:rsid w:val="00953920"/>
    <w:rsid w:val="00953D47"/>
    <w:rsid w:val="009552CE"/>
    <w:rsid w:val="0095681E"/>
    <w:rsid w:val="009572D4"/>
    <w:rsid w:val="00957BE1"/>
    <w:rsid w:val="00961921"/>
    <w:rsid w:val="0096430A"/>
    <w:rsid w:val="00964C60"/>
    <w:rsid w:val="0096554B"/>
    <w:rsid w:val="0096584A"/>
    <w:rsid w:val="00967B4F"/>
    <w:rsid w:val="0097014A"/>
    <w:rsid w:val="00971F08"/>
    <w:rsid w:val="00973321"/>
    <w:rsid w:val="0097603D"/>
    <w:rsid w:val="00976949"/>
    <w:rsid w:val="00976D6E"/>
    <w:rsid w:val="009800DC"/>
    <w:rsid w:val="00980477"/>
    <w:rsid w:val="00980FDE"/>
    <w:rsid w:val="00981A4B"/>
    <w:rsid w:val="00985253"/>
    <w:rsid w:val="009853B3"/>
    <w:rsid w:val="00987F1F"/>
    <w:rsid w:val="00990630"/>
    <w:rsid w:val="00991761"/>
    <w:rsid w:val="00994DCA"/>
    <w:rsid w:val="009960EC"/>
    <w:rsid w:val="00996CBA"/>
    <w:rsid w:val="009970DD"/>
    <w:rsid w:val="00997D5F"/>
    <w:rsid w:val="009A0333"/>
    <w:rsid w:val="009A0FBA"/>
    <w:rsid w:val="009A1601"/>
    <w:rsid w:val="009A3BB6"/>
    <w:rsid w:val="009A3BD6"/>
    <w:rsid w:val="009A462D"/>
    <w:rsid w:val="009A5CBA"/>
    <w:rsid w:val="009A65B0"/>
    <w:rsid w:val="009A6F20"/>
    <w:rsid w:val="009A7003"/>
    <w:rsid w:val="009A7E49"/>
    <w:rsid w:val="009B1F30"/>
    <w:rsid w:val="009B2F63"/>
    <w:rsid w:val="009B33F1"/>
    <w:rsid w:val="009B3AC2"/>
    <w:rsid w:val="009B4DF4"/>
    <w:rsid w:val="009B564E"/>
    <w:rsid w:val="009B7E87"/>
    <w:rsid w:val="009C0169"/>
    <w:rsid w:val="009C2912"/>
    <w:rsid w:val="009C403E"/>
    <w:rsid w:val="009D3282"/>
    <w:rsid w:val="009D3761"/>
    <w:rsid w:val="009D4FF0"/>
    <w:rsid w:val="009D59A0"/>
    <w:rsid w:val="009D6C93"/>
    <w:rsid w:val="009D703C"/>
    <w:rsid w:val="009D718F"/>
    <w:rsid w:val="009E068F"/>
    <w:rsid w:val="009E14E0"/>
    <w:rsid w:val="009E35DB"/>
    <w:rsid w:val="009E47A3"/>
    <w:rsid w:val="009E6354"/>
    <w:rsid w:val="009F02F4"/>
    <w:rsid w:val="009F08F3"/>
    <w:rsid w:val="009F344F"/>
    <w:rsid w:val="00A02126"/>
    <w:rsid w:val="00A031D8"/>
    <w:rsid w:val="00A03C86"/>
    <w:rsid w:val="00A048A8"/>
    <w:rsid w:val="00A04E4A"/>
    <w:rsid w:val="00A04F49"/>
    <w:rsid w:val="00A10969"/>
    <w:rsid w:val="00A1338B"/>
    <w:rsid w:val="00A13E54"/>
    <w:rsid w:val="00A14330"/>
    <w:rsid w:val="00A16103"/>
    <w:rsid w:val="00A17F63"/>
    <w:rsid w:val="00A20F99"/>
    <w:rsid w:val="00A2193B"/>
    <w:rsid w:val="00A2351A"/>
    <w:rsid w:val="00A24EFE"/>
    <w:rsid w:val="00A264A9"/>
    <w:rsid w:val="00A26DCF"/>
    <w:rsid w:val="00A27785"/>
    <w:rsid w:val="00A30187"/>
    <w:rsid w:val="00A311A7"/>
    <w:rsid w:val="00A31D2F"/>
    <w:rsid w:val="00A3448A"/>
    <w:rsid w:val="00A35821"/>
    <w:rsid w:val="00A36297"/>
    <w:rsid w:val="00A40AD3"/>
    <w:rsid w:val="00A41E2B"/>
    <w:rsid w:val="00A45B74"/>
    <w:rsid w:val="00A476DA"/>
    <w:rsid w:val="00A51647"/>
    <w:rsid w:val="00A52D93"/>
    <w:rsid w:val="00A52E1D"/>
    <w:rsid w:val="00A56A37"/>
    <w:rsid w:val="00A61499"/>
    <w:rsid w:val="00A627CD"/>
    <w:rsid w:val="00A62A77"/>
    <w:rsid w:val="00A62B5B"/>
    <w:rsid w:val="00A63483"/>
    <w:rsid w:val="00A6442E"/>
    <w:rsid w:val="00A655FC"/>
    <w:rsid w:val="00A657D7"/>
    <w:rsid w:val="00A660AC"/>
    <w:rsid w:val="00A67E6C"/>
    <w:rsid w:val="00A67E8B"/>
    <w:rsid w:val="00A704B5"/>
    <w:rsid w:val="00A71B99"/>
    <w:rsid w:val="00A739D0"/>
    <w:rsid w:val="00A761D4"/>
    <w:rsid w:val="00A77EC4"/>
    <w:rsid w:val="00A8222F"/>
    <w:rsid w:val="00A83FFA"/>
    <w:rsid w:val="00A8671A"/>
    <w:rsid w:val="00A874E2"/>
    <w:rsid w:val="00A92879"/>
    <w:rsid w:val="00A9442A"/>
    <w:rsid w:val="00AA016F"/>
    <w:rsid w:val="00AA1693"/>
    <w:rsid w:val="00AA1ED6"/>
    <w:rsid w:val="00AA23E8"/>
    <w:rsid w:val="00AA51D6"/>
    <w:rsid w:val="00AA62AB"/>
    <w:rsid w:val="00AB0BC8"/>
    <w:rsid w:val="00AB0E04"/>
    <w:rsid w:val="00AB11CA"/>
    <w:rsid w:val="00AB14D9"/>
    <w:rsid w:val="00AB1B00"/>
    <w:rsid w:val="00AB3712"/>
    <w:rsid w:val="00AB495E"/>
    <w:rsid w:val="00AB4AB8"/>
    <w:rsid w:val="00AB655E"/>
    <w:rsid w:val="00AB663B"/>
    <w:rsid w:val="00AB67AB"/>
    <w:rsid w:val="00AC007F"/>
    <w:rsid w:val="00AC1AF6"/>
    <w:rsid w:val="00AC2900"/>
    <w:rsid w:val="00AC2ECD"/>
    <w:rsid w:val="00AC3119"/>
    <w:rsid w:val="00AC49FB"/>
    <w:rsid w:val="00AC585B"/>
    <w:rsid w:val="00AC5A10"/>
    <w:rsid w:val="00AD0AA3"/>
    <w:rsid w:val="00AD1117"/>
    <w:rsid w:val="00AD3F94"/>
    <w:rsid w:val="00AD4A5A"/>
    <w:rsid w:val="00AD6889"/>
    <w:rsid w:val="00AE162B"/>
    <w:rsid w:val="00AE27AC"/>
    <w:rsid w:val="00AE33EF"/>
    <w:rsid w:val="00AE40E0"/>
    <w:rsid w:val="00AE4DBA"/>
    <w:rsid w:val="00AE4F07"/>
    <w:rsid w:val="00AF1594"/>
    <w:rsid w:val="00AF1C5D"/>
    <w:rsid w:val="00AF1E50"/>
    <w:rsid w:val="00AF26F5"/>
    <w:rsid w:val="00AF39EE"/>
    <w:rsid w:val="00AF42BD"/>
    <w:rsid w:val="00AF42D7"/>
    <w:rsid w:val="00AF46EB"/>
    <w:rsid w:val="00B006FE"/>
    <w:rsid w:val="00B007CB"/>
    <w:rsid w:val="00B00E75"/>
    <w:rsid w:val="00B029BF"/>
    <w:rsid w:val="00B02AA9"/>
    <w:rsid w:val="00B02FA3"/>
    <w:rsid w:val="00B03674"/>
    <w:rsid w:val="00B04CE3"/>
    <w:rsid w:val="00B05084"/>
    <w:rsid w:val="00B10948"/>
    <w:rsid w:val="00B10B4F"/>
    <w:rsid w:val="00B137D4"/>
    <w:rsid w:val="00B145D3"/>
    <w:rsid w:val="00B157F9"/>
    <w:rsid w:val="00B16218"/>
    <w:rsid w:val="00B20256"/>
    <w:rsid w:val="00B20D09"/>
    <w:rsid w:val="00B22EAF"/>
    <w:rsid w:val="00B239A4"/>
    <w:rsid w:val="00B23F53"/>
    <w:rsid w:val="00B23FC7"/>
    <w:rsid w:val="00B2522E"/>
    <w:rsid w:val="00B2763F"/>
    <w:rsid w:val="00B27AAC"/>
    <w:rsid w:val="00B30929"/>
    <w:rsid w:val="00B35D01"/>
    <w:rsid w:val="00B372AA"/>
    <w:rsid w:val="00B40445"/>
    <w:rsid w:val="00B409E0"/>
    <w:rsid w:val="00B41888"/>
    <w:rsid w:val="00B44BE6"/>
    <w:rsid w:val="00B45A52"/>
    <w:rsid w:val="00B46175"/>
    <w:rsid w:val="00B47963"/>
    <w:rsid w:val="00B47DD1"/>
    <w:rsid w:val="00B548B7"/>
    <w:rsid w:val="00B56B30"/>
    <w:rsid w:val="00B57D8F"/>
    <w:rsid w:val="00B61265"/>
    <w:rsid w:val="00B664C7"/>
    <w:rsid w:val="00B6782A"/>
    <w:rsid w:val="00B7114D"/>
    <w:rsid w:val="00B728E9"/>
    <w:rsid w:val="00B72ADC"/>
    <w:rsid w:val="00B739F6"/>
    <w:rsid w:val="00B7418F"/>
    <w:rsid w:val="00B80488"/>
    <w:rsid w:val="00B81A6C"/>
    <w:rsid w:val="00B82BA2"/>
    <w:rsid w:val="00B82CCE"/>
    <w:rsid w:val="00B8448B"/>
    <w:rsid w:val="00B85DE5"/>
    <w:rsid w:val="00B86FC6"/>
    <w:rsid w:val="00B8751D"/>
    <w:rsid w:val="00B90F73"/>
    <w:rsid w:val="00B93B59"/>
    <w:rsid w:val="00B93BF6"/>
    <w:rsid w:val="00B9406A"/>
    <w:rsid w:val="00B940C4"/>
    <w:rsid w:val="00B9424E"/>
    <w:rsid w:val="00BA1757"/>
    <w:rsid w:val="00BA2280"/>
    <w:rsid w:val="00BA2A08"/>
    <w:rsid w:val="00BA40B1"/>
    <w:rsid w:val="00BA56D2"/>
    <w:rsid w:val="00BA6B4A"/>
    <w:rsid w:val="00BA76E0"/>
    <w:rsid w:val="00BB1A6B"/>
    <w:rsid w:val="00BB2A25"/>
    <w:rsid w:val="00BB51E9"/>
    <w:rsid w:val="00BB5A01"/>
    <w:rsid w:val="00BC0FDC"/>
    <w:rsid w:val="00BC293D"/>
    <w:rsid w:val="00BC3053"/>
    <w:rsid w:val="00BC4D2E"/>
    <w:rsid w:val="00BC508B"/>
    <w:rsid w:val="00BD3C10"/>
    <w:rsid w:val="00BD48AC"/>
    <w:rsid w:val="00BD5F1A"/>
    <w:rsid w:val="00BE1234"/>
    <w:rsid w:val="00BE2FA6"/>
    <w:rsid w:val="00BE333F"/>
    <w:rsid w:val="00BE636E"/>
    <w:rsid w:val="00BE7406"/>
    <w:rsid w:val="00BE7603"/>
    <w:rsid w:val="00BF3279"/>
    <w:rsid w:val="00BF6F1D"/>
    <w:rsid w:val="00BF74C7"/>
    <w:rsid w:val="00C015F1"/>
    <w:rsid w:val="00C01F33"/>
    <w:rsid w:val="00C02CC6"/>
    <w:rsid w:val="00C040F7"/>
    <w:rsid w:val="00C044AB"/>
    <w:rsid w:val="00C05506"/>
    <w:rsid w:val="00C05706"/>
    <w:rsid w:val="00C07377"/>
    <w:rsid w:val="00C10478"/>
    <w:rsid w:val="00C1083E"/>
    <w:rsid w:val="00C12107"/>
    <w:rsid w:val="00C14D4B"/>
    <w:rsid w:val="00C154BB"/>
    <w:rsid w:val="00C158AA"/>
    <w:rsid w:val="00C227B1"/>
    <w:rsid w:val="00C2312E"/>
    <w:rsid w:val="00C233B8"/>
    <w:rsid w:val="00C242BB"/>
    <w:rsid w:val="00C268E6"/>
    <w:rsid w:val="00C279A9"/>
    <w:rsid w:val="00C279B5"/>
    <w:rsid w:val="00C27BB8"/>
    <w:rsid w:val="00C27C45"/>
    <w:rsid w:val="00C30B92"/>
    <w:rsid w:val="00C30C7C"/>
    <w:rsid w:val="00C33848"/>
    <w:rsid w:val="00C339B8"/>
    <w:rsid w:val="00C34892"/>
    <w:rsid w:val="00C34F8E"/>
    <w:rsid w:val="00C35503"/>
    <w:rsid w:val="00C3719D"/>
    <w:rsid w:val="00C37B29"/>
    <w:rsid w:val="00C37CB2"/>
    <w:rsid w:val="00C417E9"/>
    <w:rsid w:val="00C43D9D"/>
    <w:rsid w:val="00C473A5"/>
    <w:rsid w:val="00C52C3A"/>
    <w:rsid w:val="00C54995"/>
    <w:rsid w:val="00C54D41"/>
    <w:rsid w:val="00C55CA2"/>
    <w:rsid w:val="00C5765C"/>
    <w:rsid w:val="00C60783"/>
    <w:rsid w:val="00C64672"/>
    <w:rsid w:val="00C67476"/>
    <w:rsid w:val="00C677E8"/>
    <w:rsid w:val="00C67BBE"/>
    <w:rsid w:val="00C700A6"/>
    <w:rsid w:val="00C70697"/>
    <w:rsid w:val="00C72093"/>
    <w:rsid w:val="00C72460"/>
    <w:rsid w:val="00C72EF4"/>
    <w:rsid w:val="00C7343E"/>
    <w:rsid w:val="00C73668"/>
    <w:rsid w:val="00C74215"/>
    <w:rsid w:val="00C744FE"/>
    <w:rsid w:val="00C75D2F"/>
    <w:rsid w:val="00C767BE"/>
    <w:rsid w:val="00C76E3C"/>
    <w:rsid w:val="00C77D51"/>
    <w:rsid w:val="00C81124"/>
    <w:rsid w:val="00C81568"/>
    <w:rsid w:val="00C8434E"/>
    <w:rsid w:val="00C86DA0"/>
    <w:rsid w:val="00C87FD7"/>
    <w:rsid w:val="00C9027A"/>
    <w:rsid w:val="00C9037C"/>
    <w:rsid w:val="00C9068E"/>
    <w:rsid w:val="00C908BF"/>
    <w:rsid w:val="00C936B9"/>
    <w:rsid w:val="00C93814"/>
    <w:rsid w:val="00C93C4B"/>
    <w:rsid w:val="00C944AB"/>
    <w:rsid w:val="00C94816"/>
    <w:rsid w:val="00C95B40"/>
    <w:rsid w:val="00C95DB6"/>
    <w:rsid w:val="00CA1ED8"/>
    <w:rsid w:val="00CB1F63"/>
    <w:rsid w:val="00CB4675"/>
    <w:rsid w:val="00CB6A2C"/>
    <w:rsid w:val="00CB6F9F"/>
    <w:rsid w:val="00CB7170"/>
    <w:rsid w:val="00CC040E"/>
    <w:rsid w:val="00CC111F"/>
    <w:rsid w:val="00CC2011"/>
    <w:rsid w:val="00CC3EA0"/>
    <w:rsid w:val="00CC7B45"/>
    <w:rsid w:val="00CD1188"/>
    <w:rsid w:val="00CD1FDE"/>
    <w:rsid w:val="00CD2371"/>
    <w:rsid w:val="00CD2ED1"/>
    <w:rsid w:val="00CD337B"/>
    <w:rsid w:val="00CD38C2"/>
    <w:rsid w:val="00CE0424"/>
    <w:rsid w:val="00CE599C"/>
    <w:rsid w:val="00CE7561"/>
    <w:rsid w:val="00CE7AAB"/>
    <w:rsid w:val="00CE7EEE"/>
    <w:rsid w:val="00CF1354"/>
    <w:rsid w:val="00CF3B1F"/>
    <w:rsid w:val="00CF3BF6"/>
    <w:rsid w:val="00CF4BC8"/>
    <w:rsid w:val="00CF625B"/>
    <w:rsid w:val="00CF687E"/>
    <w:rsid w:val="00CF741E"/>
    <w:rsid w:val="00D0349B"/>
    <w:rsid w:val="00D101AA"/>
    <w:rsid w:val="00D10249"/>
    <w:rsid w:val="00D11523"/>
    <w:rsid w:val="00D115C3"/>
    <w:rsid w:val="00D1180B"/>
    <w:rsid w:val="00D11897"/>
    <w:rsid w:val="00D11E4B"/>
    <w:rsid w:val="00D122A8"/>
    <w:rsid w:val="00D13135"/>
    <w:rsid w:val="00D13E4E"/>
    <w:rsid w:val="00D14762"/>
    <w:rsid w:val="00D2241E"/>
    <w:rsid w:val="00D22E2F"/>
    <w:rsid w:val="00D23710"/>
    <w:rsid w:val="00D239A7"/>
    <w:rsid w:val="00D23F47"/>
    <w:rsid w:val="00D35A7B"/>
    <w:rsid w:val="00D36DCF"/>
    <w:rsid w:val="00D36E71"/>
    <w:rsid w:val="00D37D87"/>
    <w:rsid w:val="00D40B33"/>
    <w:rsid w:val="00D4318F"/>
    <w:rsid w:val="00D438BF"/>
    <w:rsid w:val="00D440F8"/>
    <w:rsid w:val="00D45B13"/>
    <w:rsid w:val="00D47E89"/>
    <w:rsid w:val="00D52126"/>
    <w:rsid w:val="00D546FF"/>
    <w:rsid w:val="00D55AD5"/>
    <w:rsid w:val="00D576CA"/>
    <w:rsid w:val="00D602D9"/>
    <w:rsid w:val="00D61643"/>
    <w:rsid w:val="00D61AF5"/>
    <w:rsid w:val="00D6280F"/>
    <w:rsid w:val="00D652B5"/>
    <w:rsid w:val="00D66155"/>
    <w:rsid w:val="00D708B0"/>
    <w:rsid w:val="00D77B1D"/>
    <w:rsid w:val="00D8021F"/>
    <w:rsid w:val="00D80383"/>
    <w:rsid w:val="00D823C6"/>
    <w:rsid w:val="00D82E39"/>
    <w:rsid w:val="00D8327F"/>
    <w:rsid w:val="00D86CA3"/>
    <w:rsid w:val="00D871CE"/>
    <w:rsid w:val="00D9196D"/>
    <w:rsid w:val="00D92982"/>
    <w:rsid w:val="00D9498F"/>
    <w:rsid w:val="00D974B6"/>
    <w:rsid w:val="00DA0A96"/>
    <w:rsid w:val="00DA2C77"/>
    <w:rsid w:val="00DA305E"/>
    <w:rsid w:val="00DA5417"/>
    <w:rsid w:val="00DA56E8"/>
    <w:rsid w:val="00DB0A9F"/>
    <w:rsid w:val="00DB2CE8"/>
    <w:rsid w:val="00DB377D"/>
    <w:rsid w:val="00DB3F00"/>
    <w:rsid w:val="00DB5360"/>
    <w:rsid w:val="00DB6716"/>
    <w:rsid w:val="00DC2D36"/>
    <w:rsid w:val="00DC53EF"/>
    <w:rsid w:val="00DC5A16"/>
    <w:rsid w:val="00DD44DC"/>
    <w:rsid w:val="00DD4519"/>
    <w:rsid w:val="00DD6AE5"/>
    <w:rsid w:val="00DE00AE"/>
    <w:rsid w:val="00DE2A5F"/>
    <w:rsid w:val="00DE3364"/>
    <w:rsid w:val="00DE5608"/>
    <w:rsid w:val="00DE58D0"/>
    <w:rsid w:val="00DE654F"/>
    <w:rsid w:val="00DF0B6E"/>
    <w:rsid w:val="00DF15E0"/>
    <w:rsid w:val="00DF1BA7"/>
    <w:rsid w:val="00DF2E48"/>
    <w:rsid w:val="00DF37A0"/>
    <w:rsid w:val="00DF37C0"/>
    <w:rsid w:val="00DF54E5"/>
    <w:rsid w:val="00DF66E1"/>
    <w:rsid w:val="00E013F9"/>
    <w:rsid w:val="00E022E8"/>
    <w:rsid w:val="00E03380"/>
    <w:rsid w:val="00E110E7"/>
    <w:rsid w:val="00E11B20"/>
    <w:rsid w:val="00E15207"/>
    <w:rsid w:val="00E171D6"/>
    <w:rsid w:val="00E17742"/>
    <w:rsid w:val="00E17FA2"/>
    <w:rsid w:val="00E20DF7"/>
    <w:rsid w:val="00E22330"/>
    <w:rsid w:val="00E25B05"/>
    <w:rsid w:val="00E30B5A"/>
    <w:rsid w:val="00E3123D"/>
    <w:rsid w:val="00E31461"/>
    <w:rsid w:val="00E31D43"/>
    <w:rsid w:val="00E32608"/>
    <w:rsid w:val="00E331EB"/>
    <w:rsid w:val="00E33275"/>
    <w:rsid w:val="00E33F25"/>
    <w:rsid w:val="00E34188"/>
    <w:rsid w:val="00E34826"/>
    <w:rsid w:val="00E34B6E"/>
    <w:rsid w:val="00E354D5"/>
    <w:rsid w:val="00E35559"/>
    <w:rsid w:val="00E35C86"/>
    <w:rsid w:val="00E3723A"/>
    <w:rsid w:val="00E3779F"/>
    <w:rsid w:val="00E37860"/>
    <w:rsid w:val="00E40293"/>
    <w:rsid w:val="00E42038"/>
    <w:rsid w:val="00E446F1"/>
    <w:rsid w:val="00E46305"/>
    <w:rsid w:val="00E46886"/>
    <w:rsid w:val="00E47AEF"/>
    <w:rsid w:val="00E53B75"/>
    <w:rsid w:val="00E54E3B"/>
    <w:rsid w:val="00E57565"/>
    <w:rsid w:val="00E6081A"/>
    <w:rsid w:val="00E609AC"/>
    <w:rsid w:val="00E62A48"/>
    <w:rsid w:val="00E63838"/>
    <w:rsid w:val="00E63AA5"/>
    <w:rsid w:val="00E64434"/>
    <w:rsid w:val="00E676A9"/>
    <w:rsid w:val="00E67C51"/>
    <w:rsid w:val="00E72EFC"/>
    <w:rsid w:val="00E74C0E"/>
    <w:rsid w:val="00E7513D"/>
    <w:rsid w:val="00E75507"/>
    <w:rsid w:val="00E758EC"/>
    <w:rsid w:val="00E76427"/>
    <w:rsid w:val="00E7686F"/>
    <w:rsid w:val="00E8234C"/>
    <w:rsid w:val="00E82B07"/>
    <w:rsid w:val="00E83AA9"/>
    <w:rsid w:val="00E85928"/>
    <w:rsid w:val="00E866FE"/>
    <w:rsid w:val="00E87822"/>
    <w:rsid w:val="00E90395"/>
    <w:rsid w:val="00E908D5"/>
    <w:rsid w:val="00E90E49"/>
    <w:rsid w:val="00E917F9"/>
    <w:rsid w:val="00E9291C"/>
    <w:rsid w:val="00E93FFE"/>
    <w:rsid w:val="00E94AE7"/>
    <w:rsid w:val="00E94F8A"/>
    <w:rsid w:val="00E97591"/>
    <w:rsid w:val="00EA1D10"/>
    <w:rsid w:val="00EA6166"/>
    <w:rsid w:val="00EA7543"/>
    <w:rsid w:val="00EA7A41"/>
    <w:rsid w:val="00EB077B"/>
    <w:rsid w:val="00EB4EA2"/>
    <w:rsid w:val="00EC24D5"/>
    <w:rsid w:val="00EC27C6"/>
    <w:rsid w:val="00EC3351"/>
    <w:rsid w:val="00EC4207"/>
    <w:rsid w:val="00EC5121"/>
    <w:rsid w:val="00EC5520"/>
    <w:rsid w:val="00EC5653"/>
    <w:rsid w:val="00EC71CE"/>
    <w:rsid w:val="00EC782B"/>
    <w:rsid w:val="00ED1006"/>
    <w:rsid w:val="00ED4E78"/>
    <w:rsid w:val="00ED56B1"/>
    <w:rsid w:val="00ED76E0"/>
    <w:rsid w:val="00EE1333"/>
    <w:rsid w:val="00EE4DD9"/>
    <w:rsid w:val="00EE505E"/>
    <w:rsid w:val="00EF0D20"/>
    <w:rsid w:val="00EF18FE"/>
    <w:rsid w:val="00EF5787"/>
    <w:rsid w:val="00EF60D0"/>
    <w:rsid w:val="00F00A55"/>
    <w:rsid w:val="00F018E8"/>
    <w:rsid w:val="00F03522"/>
    <w:rsid w:val="00F0528D"/>
    <w:rsid w:val="00F06C67"/>
    <w:rsid w:val="00F06D60"/>
    <w:rsid w:val="00F06DCE"/>
    <w:rsid w:val="00F06DFD"/>
    <w:rsid w:val="00F071D1"/>
    <w:rsid w:val="00F0734D"/>
    <w:rsid w:val="00F07533"/>
    <w:rsid w:val="00F10629"/>
    <w:rsid w:val="00F11112"/>
    <w:rsid w:val="00F13EA3"/>
    <w:rsid w:val="00F153D5"/>
    <w:rsid w:val="00F15FA5"/>
    <w:rsid w:val="00F178A5"/>
    <w:rsid w:val="00F20565"/>
    <w:rsid w:val="00F209B7"/>
    <w:rsid w:val="00F20F5C"/>
    <w:rsid w:val="00F2376F"/>
    <w:rsid w:val="00F243D8"/>
    <w:rsid w:val="00F2681E"/>
    <w:rsid w:val="00F268C5"/>
    <w:rsid w:val="00F30828"/>
    <w:rsid w:val="00F309B9"/>
    <w:rsid w:val="00F313D6"/>
    <w:rsid w:val="00F351B5"/>
    <w:rsid w:val="00F37C8C"/>
    <w:rsid w:val="00F40F0C"/>
    <w:rsid w:val="00F44069"/>
    <w:rsid w:val="00F47507"/>
    <w:rsid w:val="00F4766C"/>
    <w:rsid w:val="00F5030A"/>
    <w:rsid w:val="00F5060E"/>
    <w:rsid w:val="00F507D1"/>
    <w:rsid w:val="00F519CE"/>
    <w:rsid w:val="00F51ADA"/>
    <w:rsid w:val="00F52594"/>
    <w:rsid w:val="00F54A08"/>
    <w:rsid w:val="00F55511"/>
    <w:rsid w:val="00F60203"/>
    <w:rsid w:val="00F607C5"/>
    <w:rsid w:val="00F60DEA"/>
    <w:rsid w:val="00F6302A"/>
    <w:rsid w:val="00F63950"/>
    <w:rsid w:val="00F63FFE"/>
    <w:rsid w:val="00F64376"/>
    <w:rsid w:val="00F64C2B"/>
    <w:rsid w:val="00F651BE"/>
    <w:rsid w:val="00F65474"/>
    <w:rsid w:val="00F67F53"/>
    <w:rsid w:val="00F703BE"/>
    <w:rsid w:val="00F71F69"/>
    <w:rsid w:val="00F72B72"/>
    <w:rsid w:val="00F74BB9"/>
    <w:rsid w:val="00F75582"/>
    <w:rsid w:val="00F76EFA"/>
    <w:rsid w:val="00F804BE"/>
    <w:rsid w:val="00F817CE"/>
    <w:rsid w:val="00F8315A"/>
    <w:rsid w:val="00F83A2C"/>
    <w:rsid w:val="00F8456C"/>
    <w:rsid w:val="00F859D8"/>
    <w:rsid w:val="00F85FD1"/>
    <w:rsid w:val="00F868F5"/>
    <w:rsid w:val="00F9056A"/>
    <w:rsid w:val="00F90F8D"/>
    <w:rsid w:val="00F913D7"/>
    <w:rsid w:val="00F91F9A"/>
    <w:rsid w:val="00F9243F"/>
    <w:rsid w:val="00F92782"/>
    <w:rsid w:val="00F93AA9"/>
    <w:rsid w:val="00F95961"/>
    <w:rsid w:val="00F96146"/>
    <w:rsid w:val="00F96985"/>
    <w:rsid w:val="00F97838"/>
    <w:rsid w:val="00FA150C"/>
    <w:rsid w:val="00FA2BB3"/>
    <w:rsid w:val="00FA5497"/>
    <w:rsid w:val="00FB0994"/>
    <w:rsid w:val="00FB16DB"/>
    <w:rsid w:val="00FB3349"/>
    <w:rsid w:val="00FB4C80"/>
    <w:rsid w:val="00FB5315"/>
    <w:rsid w:val="00FB6A6A"/>
    <w:rsid w:val="00FB7A0F"/>
    <w:rsid w:val="00FC12AF"/>
    <w:rsid w:val="00FC5ACD"/>
    <w:rsid w:val="00FC7429"/>
    <w:rsid w:val="00FC7DBC"/>
    <w:rsid w:val="00FD07F6"/>
    <w:rsid w:val="00FD1EC8"/>
    <w:rsid w:val="00FD4266"/>
    <w:rsid w:val="00FD47ED"/>
    <w:rsid w:val="00FD74DB"/>
    <w:rsid w:val="00FD7660"/>
    <w:rsid w:val="00FE0655"/>
    <w:rsid w:val="00FE122E"/>
    <w:rsid w:val="00FE2365"/>
    <w:rsid w:val="00FE37D7"/>
    <w:rsid w:val="00FE4C7B"/>
    <w:rsid w:val="00FE7336"/>
    <w:rsid w:val="00FE7462"/>
    <w:rsid w:val="00FE787C"/>
    <w:rsid w:val="00FF45A5"/>
    <w:rsid w:val="00FF5247"/>
    <w:rsid w:val="00FF5461"/>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B4A8F284-BAD9-47D6-A441-70CB40E270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customStyle="1" w:styleId="Agreement">
    <w:name w:val="Agreement"/>
    <w:basedOn w:val="Normal"/>
    <w:next w:val="Doc-text2"/>
    <w:qFormat/>
    <w:rsid w:val="00150866"/>
    <w:pPr>
      <w:numPr>
        <w:numId w:val="27"/>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8471080">
      <w:bodyDiv w:val="1"/>
      <w:marLeft w:val="0"/>
      <w:marRight w:val="0"/>
      <w:marTop w:val="0"/>
      <w:marBottom w:val="0"/>
      <w:divBdr>
        <w:top w:val="none" w:sz="0" w:space="0" w:color="auto"/>
        <w:left w:val="none" w:sz="0" w:space="0" w:color="auto"/>
        <w:bottom w:val="none" w:sz="0" w:space="0" w:color="auto"/>
        <w:right w:val="none" w:sz="0" w:space="0" w:color="auto"/>
      </w:divBdr>
    </w:div>
    <w:div w:id="1483229074">
      <w:bodyDiv w:val="1"/>
      <w:marLeft w:val="0"/>
      <w:marRight w:val="0"/>
      <w:marTop w:val="0"/>
      <w:marBottom w:val="0"/>
      <w:divBdr>
        <w:top w:val="none" w:sz="0" w:space="0" w:color="auto"/>
        <w:left w:val="none" w:sz="0" w:space="0" w:color="auto"/>
        <w:bottom w:val="none" w:sz="0" w:space="0" w:color="auto"/>
        <w:right w:val="none" w:sz="0" w:space="0" w:color="auto"/>
      </w:divBdr>
      <w:divsChild>
        <w:div w:id="1016888689">
          <w:marLeft w:val="547"/>
          <w:marRight w:val="0"/>
          <w:marTop w:val="60"/>
          <w:marBottom w:val="0"/>
          <w:divBdr>
            <w:top w:val="none" w:sz="0" w:space="0" w:color="auto"/>
            <w:left w:val="none" w:sz="0" w:space="0" w:color="auto"/>
            <w:bottom w:val="none" w:sz="0" w:space="0" w:color="auto"/>
            <w:right w:val="none" w:sz="0" w:space="0" w:color="auto"/>
          </w:divBdr>
        </w:div>
        <w:div w:id="126969505">
          <w:marLeft w:val="1800"/>
          <w:marRight w:val="0"/>
          <w:marTop w:val="60"/>
          <w:marBottom w:val="0"/>
          <w:divBdr>
            <w:top w:val="none" w:sz="0" w:space="0" w:color="auto"/>
            <w:left w:val="none" w:sz="0" w:space="0" w:color="auto"/>
            <w:bottom w:val="none" w:sz="0" w:space="0" w:color="auto"/>
            <w:right w:val="none" w:sz="0" w:space="0" w:color="auto"/>
          </w:divBdr>
        </w:div>
        <w:div w:id="1789886408">
          <w:marLeft w:val="1800"/>
          <w:marRight w:val="0"/>
          <w:marTop w:val="60"/>
          <w:marBottom w:val="0"/>
          <w:divBdr>
            <w:top w:val="none" w:sz="0" w:space="0" w:color="auto"/>
            <w:left w:val="none" w:sz="0" w:space="0" w:color="auto"/>
            <w:bottom w:val="none" w:sz="0" w:space="0" w:color="auto"/>
            <w:right w:val="none" w:sz="0" w:space="0" w:color="auto"/>
          </w:divBdr>
        </w:div>
        <w:div w:id="1907295907">
          <w:marLeft w:val="1800"/>
          <w:marRight w:val="0"/>
          <w:marTop w:val="60"/>
          <w:marBottom w:val="0"/>
          <w:divBdr>
            <w:top w:val="none" w:sz="0" w:space="0" w:color="auto"/>
            <w:left w:val="none" w:sz="0" w:space="0" w:color="auto"/>
            <w:bottom w:val="none" w:sz="0" w:space="0" w:color="auto"/>
            <w:right w:val="none" w:sz="0" w:space="0" w:color="auto"/>
          </w:divBdr>
        </w:div>
        <w:div w:id="1947686483">
          <w:marLeft w:val="547"/>
          <w:marRight w:val="0"/>
          <w:marTop w:val="60"/>
          <w:marBottom w:val="0"/>
          <w:divBdr>
            <w:top w:val="none" w:sz="0" w:space="0" w:color="auto"/>
            <w:left w:val="none" w:sz="0" w:space="0" w:color="auto"/>
            <w:bottom w:val="none" w:sz="0" w:space="0" w:color="auto"/>
            <w:right w:val="none" w:sz="0" w:space="0" w:color="auto"/>
          </w:divBdr>
        </w:div>
        <w:div w:id="422455807">
          <w:marLeft w:val="547"/>
          <w:marRight w:val="0"/>
          <w:marTop w:val="60"/>
          <w:marBottom w:val="0"/>
          <w:divBdr>
            <w:top w:val="none" w:sz="0" w:space="0" w:color="auto"/>
            <w:left w:val="none" w:sz="0" w:space="0" w:color="auto"/>
            <w:bottom w:val="none" w:sz="0" w:space="0" w:color="auto"/>
            <w:right w:val="none" w:sz="0" w:space="0" w:color="auto"/>
          </w:divBdr>
        </w:div>
        <w:div w:id="770009942">
          <w:marLeft w:val="547"/>
          <w:marRight w:val="0"/>
          <w:marTop w:val="60"/>
          <w:marBottom w:val="0"/>
          <w:divBdr>
            <w:top w:val="none" w:sz="0" w:space="0" w:color="auto"/>
            <w:left w:val="none" w:sz="0" w:space="0" w:color="auto"/>
            <w:bottom w:val="none" w:sz="0" w:space="0" w:color="auto"/>
            <w:right w:val="none" w:sz="0" w:space="0" w:color="auto"/>
          </w:divBdr>
        </w:div>
      </w:divsChild>
    </w:div>
    <w:div w:id="1776174578">
      <w:bodyDiv w:val="1"/>
      <w:marLeft w:val="0"/>
      <w:marRight w:val="0"/>
      <w:marTop w:val="0"/>
      <w:marBottom w:val="0"/>
      <w:divBdr>
        <w:top w:val="none" w:sz="0" w:space="0" w:color="auto"/>
        <w:left w:val="none" w:sz="0" w:space="0" w:color="auto"/>
        <w:bottom w:val="none" w:sz="0" w:space="0" w:color="auto"/>
        <w:right w:val="none" w:sz="0" w:space="0" w:color="auto"/>
      </w:divBdr>
      <w:divsChild>
        <w:div w:id="388260383">
          <w:marLeft w:val="1699"/>
          <w:marRight w:val="0"/>
          <w:marTop w:val="60"/>
          <w:marBottom w:val="180"/>
          <w:divBdr>
            <w:top w:val="none" w:sz="0" w:space="0" w:color="auto"/>
            <w:left w:val="none" w:sz="0" w:space="0" w:color="auto"/>
            <w:bottom w:val="none" w:sz="0" w:space="0" w:color="auto"/>
            <w:right w:val="none" w:sz="0" w:space="0" w:color="auto"/>
          </w:divBdr>
        </w:div>
        <w:div w:id="392584103">
          <w:marLeft w:val="1123"/>
          <w:marRight w:val="0"/>
          <w:marTop w:val="60"/>
          <w:marBottom w:val="180"/>
          <w:divBdr>
            <w:top w:val="none" w:sz="0" w:space="0" w:color="auto"/>
            <w:left w:val="none" w:sz="0" w:space="0" w:color="auto"/>
            <w:bottom w:val="none" w:sz="0" w:space="0" w:color="auto"/>
            <w:right w:val="none" w:sz="0" w:space="0" w:color="auto"/>
          </w:divBdr>
        </w:div>
        <w:div w:id="739904996">
          <w:marLeft w:val="1123"/>
          <w:marRight w:val="0"/>
          <w:marTop w:val="60"/>
          <w:marBottom w:val="0"/>
          <w:divBdr>
            <w:top w:val="none" w:sz="0" w:space="0" w:color="auto"/>
            <w:left w:val="none" w:sz="0" w:space="0" w:color="auto"/>
            <w:bottom w:val="none" w:sz="0" w:space="0" w:color="auto"/>
            <w:right w:val="none" w:sz="0" w:space="0" w:color="auto"/>
          </w:divBdr>
        </w:div>
        <w:div w:id="1144931086">
          <w:marLeft w:val="1123"/>
          <w:marRight w:val="0"/>
          <w:marTop w:val="60"/>
          <w:marBottom w:val="180"/>
          <w:divBdr>
            <w:top w:val="none" w:sz="0" w:space="0" w:color="auto"/>
            <w:left w:val="none" w:sz="0" w:space="0" w:color="auto"/>
            <w:bottom w:val="none" w:sz="0" w:space="0" w:color="auto"/>
            <w:right w:val="none" w:sz="0" w:space="0" w:color="auto"/>
          </w:divBdr>
        </w:div>
        <w:div w:id="1294294048">
          <w:marLeft w:val="1699"/>
          <w:marRight w:val="0"/>
          <w:marTop w:val="60"/>
          <w:marBottom w:val="180"/>
          <w:divBdr>
            <w:top w:val="none" w:sz="0" w:space="0" w:color="auto"/>
            <w:left w:val="none" w:sz="0" w:space="0" w:color="auto"/>
            <w:bottom w:val="none" w:sz="0" w:space="0" w:color="auto"/>
            <w:right w:val="none" w:sz="0" w:space="0" w:color="auto"/>
          </w:divBdr>
        </w:div>
        <w:div w:id="1402406920">
          <w:marLeft w:val="1123"/>
          <w:marRight w:val="0"/>
          <w:marTop w:val="60"/>
          <w:marBottom w:val="180"/>
          <w:divBdr>
            <w:top w:val="none" w:sz="0" w:space="0" w:color="auto"/>
            <w:left w:val="none" w:sz="0" w:space="0" w:color="auto"/>
            <w:bottom w:val="none" w:sz="0" w:space="0" w:color="auto"/>
            <w:right w:val="none" w:sz="0" w:space="0" w:color="auto"/>
          </w:divBdr>
        </w:div>
        <w:div w:id="1736974929">
          <w:marLeft w:val="1123"/>
          <w:marRight w:val="0"/>
          <w:marTop w:val="60"/>
          <w:marBottom w:val="180"/>
          <w:divBdr>
            <w:top w:val="none" w:sz="0" w:space="0" w:color="auto"/>
            <w:left w:val="none" w:sz="0" w:space="0" w:color="auto"/>
            <w:bottom w:val="none" w:sz="0" w:space="0" w:color="auto"/>
            <w:right w:val="none" w:sz="0" w:space="0" w:color="auto"/>
          </w:divBdr>
        </w:div>
        <w:div w:id="2099136209">
          <w:marLeft w:val="547"/>
          <w:marRight w:val="0"/>
          <w:marTop w:val="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77FDE626-51B8-4D1A-B1EA-4E13027AE6E7}">
  <ds:schemaRefs>
    <ds:schemaRef ds:uri="http://purl.org/dc/elements/1.1/"/>
    <ds:schemaRef ds:uri="http://www.w3.org/XML/1998/namespace"/>
    <ds:schemaRef ds:uri="http://schemas.microsoft.com/office/2006/documentManagement/types"/>
    <ds:schemaRef ds:uri="http://purl.org/dc/dcmitype/"/>
    <ds:schemaRef ds:uri="http://schemas.openxmlformats.org/package/2006/metadata/core-properties"/>
    <ds:schemaRef ds:uri="http://schemas.microsoft.com/office/infopath/2007/PartnerControls"/>
    <ds:schemaRef ds:uri="http://schemas.microsoft.com/sharepoint/v3"/>
    <ds:schemaRef ds:uri="9b239327-9e80-40e4-b1b7-4394fed77a33"/>
    <ds:schemaRef ds:uri="2f282d3b-eb4a-4b09-b61f-b9593442e286"/>
    <ds:schemaRef ds:uri="d8762117-8292-4133-b1c7-eab5c6487cfd"/>
    <ds:schemaRef ds:uri="http://schemas.microsoft.com/office/2006/metadata/properties"/>
    <ds:schemaRef ds:uri="http://purl.org/dc/terms/"/>
  </ds:schemaRefs>
</ds:datastoreItem>
</file>

<file path=customXml/itemProps3.xml><?xml version="1.0" encoding="utf-8"?>
<ds:datastoreItem xmlns:ds="http://schemas.openxmlformats.org/officeDocument/2006/customXml" ds:itemID="{A61CAD1A-478F-47B3-BB77-9F040D410C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2</TotalTime>
  <Pages>3</Pages>
  <Words>1260</Words>
  <Characters>6889</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8133</CharactersWithSpaces>
  <SharedDoc>false</SharedDoc>
  <HLinks>
    <vt:vector size="102" baseType="variant">
      <vt:variant>
        <vt:i4>1966128</vt:i4>
      </vt:variant>
      <vt:variant>
        <vt:i4>68</vt:i4>
      </vt:variant>
      <vt:variant>
        <vt:i4>0</vt:i4>
      </vt:variant>
      <vt:variant>
        <vt:i4>5</vt:i4>
      </vt:variant>
      <vt:variant>
        <vt:lpwstr/>
      </vt:variant>
      <vt:variant>
        <vt:lpwstr>_Toc115342094</vt:lpwstr>
      </vt:variant>
      <vt:variant>
        <vt:i4>1966128</vt:i4>
      </vt:variant>
      <vt:variant>
        <vt:i4>65</vt:i4>
      </vt:variant>
      <vt:variant>
        <vt:i4>0</vt:i4>
      </vt:variant>
      <vt:variant>
        <vt:i4>5</vt:i4>
      </vt:variant>
      <vt:variant>
        <vt:lpwstr/>
      </vt:variant>
      <vt:variant>
        <vt:lpwstr>_Toc115342093</vt:lpwstr>
      </vt:variant>
      <vt:variant>
        <vt:i4>1966128</vt:i4>
      </vt:variant>
      <vt:variant>
        <vt:i4>62</vt:i4>
      </vt:variant>
      <vt:variant>
        <vt:i4>0</vt:i4>
      </vt:variant>
      <vt:variant>
        <vt:i4>5</vt:i4>
      </vt:variant>
      <vt:variant>
        <vt:lpwstr/>
      </vt:variant>
      <vt:variant>
        <vt:lpwstr>_Toc115342092</vt:lpwstr>
      </vt:variant>
      <vt:variant>
        <vt:i4>1966128</vt:i4>
      </vt:variant>
      <vt:variant>
        <vt:i4>59</vt:i4>
      </vt:variant>
      <vt:variant>
        <vt:i4>0</vt:i4>
      </vt:variant>
      <vt:variant>
        <vt:i4>5</vt:i4>
      </vt:variant>
      <vt:variant>
        <vt:lpwstr/>
      </vt:variant>
      <vt:variant>
        <vt:lpwstr>_Toc115342091</vt:lpwstr>
      </vt:variant>
      <vt:variant>
        <vt:i4>1966128</vt:i4>
      </vt:variant>
      <vt:variant>
        <vt:i4>56</vt:i4>
      </vt:variant>
      <vt:variant>
        <vt:i4>0</vt:i4>
      </vt:variant>
      <vt:variant>
        <vt:i4>5</vt:i4>
      </vt:variant>
      <vt:variant>
        <vt:lpwstr/>
      </vt:variant>
      <vt:variant>
        <vt:lpwstr>_Toc115342090</vt:lpwstr>
      </vt:variant>
      <vt:variant>
        <vt:i4>2031664</vt:i4>
      </vt:variant>
      <vt:variant>
        <vt:i4>53</vt:i4>
      </vt:variant>
      <vt:variant>
        <vt:i4>0</vt:i4>
      </vt:variant>
      <vt:variant>
        <vt:i4>5</vt:i4>
      </vt:variant>
      <vt:variant>
        <vt:lpwstr/>
      </vt:variant>
      <vt:variant>
        <vt:lpwstr>_Toc115342089</vt:lpwstr>
      </vt:variant>
      <vt:variant>
        <vt:i4>2031664</vt:i4>
      </vt:variant>
      <vt:variant>
        <vt:i4>50</vt:i4>
      </vt:variant>
      <vt:variant>
        <vt:i4>0</vt:i4>
      </vt:variant>
      <vt:variant>
        <vt:i4>5</vt:i4>
      </vt:variant>
      <vt:variant>
        <vt:lpwstr/>
      </vt:variant>
      <vt:variant>
        <vt:lpwstr>_Toc115342088</vt:lpwstr>
      </vt:variant>
      <vt:variant>
        <vt:i4>2031664</vt:i4>
      </vt:variant>
      <vt:variant>
        <vt:i4>47</vt:i4>
      </vt:variant>
      <vt:variant>
        <vt:i4>0</vt:i4>
      </vt:variant>
      <vt:variant>
        <vt:i4>5</vt:i4>
      </vt:variant>
      <vt:variant>
        <vt:lpwstr/>
      </vt:variant>
      <vt:variant>
        <vt:lpwstr>_Toc115342087</vt:lpwstr>
      </vt:variant>
      <vt:variant>
        <vt:i4>2031664</vt:i4>
      </vt:variant>
      <vt:variant>
        <vt:i4>44</vt:i4>
      </vt:variant>
      <vt:variant>
        <vt:i4>0</vt:i4>
      </vt:variant>
      <vt:variant>
        <vt:i4>5</vt:i4>
      </vt:variant>
      <vt:variant>
        <vt:lpwstr/>
      </vt:variant>
      <vt:variant>
        <vt:lpwstr>_Toc115342086</vt:lpwstr>
      </vt:variant>
      <vt:variant>
        <vt:i4>2031664</vt:i4>
      </vt:variant>
      <vt:variant>
        <vt:i4>41</vt:i4>
      </vt:variant>
      <vt:variant>
        <vt:i4>0</vt:i4>
      </vt:variant>
      <vt:variant>
        <vt:i4>5</vt:i4>
      </vt:variant>
      <vt:variant>
        <vt:lpwstr/>
      </vt:variant>
      <vt:variant>
        <vt:lpwstr>_Toc115342085</vt:lpwstr>
      </vt:variant>
      <vt:variant>
        <vt:i4>2031664</vt:i4>
      </vt:variant>
      <vt:variant>
        <vt:i4>38</vt:i4>
      </vt:variant>
      <vt:variant>
        <vt:i4>0</vt:i4>
      </vt:variant>
      <vt:variant>
        <vt:i4>5</vt:i4>
      </vt:variant>
      <vt:variant>
        <vt:lpwstr/>
      </vt:variant>
      <vt:variant>
        <vt:lpwstr>_Toc115342084</vt:lpwstr>
      </vt:variant>
      <vt:variant>
        <vt:i4>2031664</vt:i4>
      </vt:variant>
      <vt:variant>
        <vt:i4>35</vt:i4>
      </vt:variant>
      <vt:variant>
        <vt:i4>0</vt:i4>
      </vt:variant>
      <vt:variant>
        <vt:i4>5</vt:i4>
      </vt:variant>
      <vt:variant>
        <vt:lpwstr/>
      </vt:variant>
      <vt:variant>
        <vt:lpwstr>_Toc115342083</vt:lpwstr>
      </vt:variant>
      <vt:variant>
        <vt:i4>2031664</vt:i4>
      </vt:variant>
      <vt:variant>
        <vt:i4>32</vt:i4>
      </vt:variant>
      <vt:variant>
        <vt:i4>0</vt:i4>
      </vt:variant>
      <vt:variant>
        <vt:i4>5</vt:i4>
      </vt:variant>
      <vt:variant>
        <vt:lpwstr/>
      </vt:variant>
      <vt:variant>
        <vt:lpwstr>_Toc115342082</vt:lpwstr>
      </vt:variant>
      <vt:variant>
        <vt:i4>2031664</vt:i4>
      </vt:variant>
      <vt:variant>
        <vt:i4>29</vt:i4>
      </vt:variant>
      <vt:variant>
        <vt:i4>0</vt:i4>
      </vt:variant>
      <vt:variant>
        <vt:i4>5</vt:i4>
      </vt:variant>
      <vt:variant>
        <vt:lpwstr/>
      </vt:variant>
      <vt:variant>
        <vt:lpwstr>_Toc115342081</vt:lpwstr>
      </vt:variant>
      <vt:variant>
        <vt:i4>2031664</vt:i4>
      </vt:variant>
      <vt:variant>
        <vt:i4>23</vt:i4>
      </vt:variant>
      <vt:variant>
        <vt:i4>0</vt:i4>
      </vt:variant>
      <vt:variant>
        <vt:i4>5</vt:i4>
      </vt:variant>
      <vt:variant>
        <vt:lpwstr/>
      </vt:variant>
      <vt:variant>
        <vt:lpwstr>_Toc115342080</vt:lpwstr>
      </vt:variant>
      <vt:variant>
        <vt:i4>1048624</vt:i4>
      </vt:variant>
      <vt:variant>
        <vt:i4>20</vt:i4>
      </vt:variant>
      <vt:variant>
        <vt:i4>0</vt:i4>
      </vt:variant>
      <vt:variant>
        <vt:i4>5</vt:i4>
      </vt:variant>
      <vt:variant>
        <vt:lpwstr/>
      </vt:variant>
      <vt:variant>
        <vt:lpwstr>_Toc115342079</vt:lpwstr>
      </vt:variant>
      <vt:variant>
        <vt:i4>1048624</vt:i4>
      </vt:variant>
      <vt:variant>
        <vt:i4>17</vt:i4>
      </vt:variant>
      <vt:variant>
        <vt:i4>0</vt:i4>
      </vt:variant>
      <vt:variant>
        <vt:i4>5</vt:i4>
      </vt:variant>
      <vt:variant>
        <vt:lpwstr/>
      </vt:variant>
      <vt:variant>
        <vt:lpwstr>_Toc115342078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cp:lastModifiedBy>
  <cp:revision>6</cp:revision>
  <cp:lastPrinted>2008-01-31T16:09:00Z</cp:lastPrinted>
  <dcterms:created xsi:type="dcterms:W3CDTF">2022-11-03T23:18:00Z</dcterms:created>
  <dcterms:modified xsi:type="dcterms:W3CDTF">2022-11-03T23:20:00Z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